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024A75">
      <w:pPr>
        <w:overflowPunct w:val="0"/>
        <w:spacing w:line="0" w:lineRule="atLeast"/>
        <w:jc w:val="center"/>
        <w:rPr>
          <w:rFonts w:ascii="Times New Roman" w:eastAsia="方正小标宋_GBK"/>
          <w:kern w:val="2"/>
          <w:sz w:val="44"/>
          <w:szCs w:val="44"/>
          <w:highlight w:val="none"/>
        </w:rPr>
      </w:pPr>
      <w:r>
        <w:rPr>
          <w:rFonts w:hint="eastAsia" w:ascii="Times New Roman" w:eastAsia="方正小标宋_GBK"/>
          <w:kern w:val="2"/>
          <w:sz w:val="44"/>
          <w:szCs w:val="44"/>
          <w:highlight w:val="none"/>
        </w:rPr>
        <w:t>关于江阴市</w:t>
      </w:r>
      <w:r>
        <w:rPr>
          <w:rFonts w:ascii="Times New Roman" w:eastAsia="方正小标宋_GBK"/>
          <w:kern w:val="2"/>
          <w:sz w:val="44"/>
          <w:szCs w:val="44"/>
          <w:highlight w:val="none"/>
        </w:rPr>
        <w:t>20</w:t>
      </w:r>
      <w:r>
        <w:rPr>
          <w:rFonts w:hint="eastAsia" w:ascii="Times New Roman" w:eastAsia="方正小标宋_GBK"/>
          <w:kern w:val="2"/>
          <w:sz w:val="44"/>
          <w:szCs w:val="44"/>
          <w:highlight w:val="none"/>
        </w:rPr>
        <w:t>24年国民经济和</w:t>
      </w:r>
    </w:p>
    <w:p w14:paraId="79E40ADB">
      <w:pPr>
        <w:overflowPunct w:val="0"/>
        <w:spacing w:line="0" w:lineRule="atLeast"/>
        <w:jc w:val="center"/>
        <w:rPr>
          <w:rFonts w:ascii="Times New Roman" w:eastAsia="方正小标宋_GBK"/>
          <w:kern w:val="2"/>
          <w:sz w:val="44"/>
          <w:szCs w:val="44"/>
          <w:highlight w:val="none"/>
        </w:rPr>
      </w:pPr>
      <w:r>
        <w:rPr>
          <w:rFonts w:hint="eastAsia" w:ascii="Times New Roman" w:eastAsia="方正小标宋_GBK"/>
          <w:kern w:val="2"/>
          <w:sz w:val="44"/>
          <w:szCs w:val="44"/>
          <w:highlight w:val="none"/>
        </w:rPr>
        <w:t>社会发展计划执行情况与</w:t>
      </w:r>
      <w:r>
        <w:rPr>
          <w:rFonts w:ascii="Times New Roman" w:eastAsia="方正小标宋_GBK"/>
          <w:kern w:val="2"/>
          <w:sz w:val="44"/>
          <w:szCs w:val="44"/>
          <w:highlight w:val="none"/>
        </w:rPr>
        <w:t>202</w:t>
      </w:r>
      <w:r>
        <w:rPr>
          <w:rFonts w:hint="eastAsia" w:ascii="Times New Roman" w:eastAsia="方正小标宋_GBK"/>
          <w:kern w:val="2"/>
          <w:sz w:val="44"/>
          <w:szCs w:val="44"/>
          <w:highlight w:val="none"/>
        </w:rPr>
        <w:t>5年国民经济</w:t>
      </w:r>
    </w:p>
    <w:p w14:paraId="484888FA">
      <w:pPr>
        <w:overflowPunct w:val="0"/>
        <w:spacing w:line="0" w:lineRule="atLeast"/>
        <w:jc w:val="center"/>
        <w:rPr>
          <w:rFonts w:ascii="Times New Roman" w:eastAsia="方正小标宋_GBK"/>
          <w:kern w:val="2"/>
          <w:sz w:val="44"/>
          <w:szCs w:val="44"/>
          <w:highlight w:val="none"/>
        </w:rPr>
      </w:pPr>
      <w:r>
        <w:rPr>
          <w:rFonts w:hint="eastAsia" w:ascii="Times New Roman" w:eastAsia="方正小标宋_GBK"/>
          <w:kern w:val="2"/>
          <w:sz w:val="44"/>
          <w:szCs w:val="44"/>
          <w:highlight w:val="none"/>
        </w:rPr>
        <w:t>和社会发展计划草案的报告</w:t>
      </w:r>
    </w:p>
    <w:p w14:paraId="05410153">
      <w:pPr>
        <w:spacing w:beforeLines="30"/>
        <w:jc w:val="center"/>
        <w:rPr>
          <w:rFonts w:ascii="Times New Roman" w:eastAsia="方正楷体_GBK"/>
          <w:spacing w:val="-11"/>
          <w:kern w:val="2"/>
          <w:szCs w:val="36"/>
          <w:highlight w:val="none"/>
        </w:rPr>
      </w:pPr>
      <w:r>
        <w:rPr>
          <w:rFonts w:hint="eastAsia" w:ascii="Times New Roman" w:eastAsia="方正楷体_GBK"/>
          <w:kern w:val="2"/>
          <w:highlight w:val="none"/>
        </w:rPr>
        <w:t>——</w:t>
      </w:r>
      <w:r>
        <w:rPr>
          <w:rFonts w:hint="eastAsia" w:ascii="Times New Roman" w:hAnsi="Times New Roman" w:eastAsia="方正楷体_GBK"/>
          <w:color w:val="000000" w:themeColor="text1"/>
          <w:spacing w:val="0"/>
          <w:w w:val="95"/>
          <w:kern w:val="2"/>
          <w:sz w:val="32"/>
          <w:szCs w:val="36"/>
          <w:highlight w:val="none"/>
          <w:u w:val="none"/>
          <w:lang w:val="en-US" w:eastAsia="zh-CN"/>
        </w:rPr>
        <w:t>2025年1月6日在江阴市第十八届人民代表大会第四次会议上</w:t>
      </w:r>
    </w:p>
    <w:p w14:paraId="091FA849">
      <w:pPr>
        <w:jc w:val="center"/>
        <w:rPr>
          <w:rFonts w:ascii="Times New Roman" w:eastAsia="方正楷体_GBK"/>
          <w:kern w:val="2"/>
          <w:highlight w:val="none"/>
        </w:rPr>
      </w:pPr>
      <w:r>
        <w:rPr>
          <w:rFonts w:hint="eastAsia" w:ascii="Times New Roman" w:eastAsia="方正楷体_GBK"/>
          <w:kern w:val="2"/>
          <w:highlight w:val="none"/>
        </w:rPr>
        <w:t>江阴市人民政府</w:t>
      </w:r>
    </w:p>
    <w:p w14:paraId="01CB5D64">
      <w:pPr>
        <w:jc w:val="center"/>
        <w:rPr>
          <w:rFonts w:ascii="Times New Roman" w:eastAsia="方正楷体_GBK"/>
          <w:kern w:val="2"/>
          <w:highlight w:val="none"/>
        </w:rPr>
      </w:pPr>
    </w:p>
    <w:p w14:paraId="7B1C0C84">
      <w:pPr>
        <w:rPr>
          <w:rFonts w:ascii="Times New Roman" w:eastAsia="方正楷体_GBK"/>
          <w:kern w:val="2"/>
          <w:highlight w:val="none"/>
        </w:rPr>
      </w:pPr>
      <w:r>
        <w:rPr>
          <w:rFonts w:hint="eastAsia" w:ascii="Times New Roman" w:eastAsia="方正楷体_GBK"/>
          <w:kern w:val="2"/>
          <w:highlight w:val="none"/>
        </w:rPr>
        <w:t>各位代表：</w:t>
      </w:r>
    </w:p>
    <w:p w14:paraId="01308EE0">
      <w:pPr>
        <w:spacing w:line="580" w:lineRule="exact"/>
        <w:ind w:firstLine="604" w:firstLineChars="200"/>
        <w:rPr>
          <w:rFonts w:hint="eastAsia" w:ascii="Times New Roman"/>
          <w:kern w:val="2"/>
          <w:highlight w:val="none"/>
        </w:rPr>
      </w:pPr>
      <w:r>
        <w:rPr>
          <w:rFonts w:hint="eastAsia" w:ascii="Times New Roman"/>
          <w:kern w:val="2"/>
          <w:highlight w:val="none"/>
        </w:rPr>
        <w:t>现在向大会报告我市202</w:t>
      </w:r>
      <w:r>
        <w:rPr>
          <w:rFonts w:hint="eastAsia" w:ascii="Times New Roman"/>
          <w:kern w:val="2"/>
          <w:highlight w:val="none"/>
          <w:lang w:val="en-US" w:eastAsia="zh-CN"/>
        </w:rPr>
        <w:t>4</w:t>
      </w:r>
      <w:r>
        <w:rPr>
          <w:rFonts w:hint="eastAsia" w:ascii="Times New Roman"/>
          <w:kern w:val="2"/>
          <w:highlight w:val="none"/>
        </w:rPr>
        <w:t>年国民经济和社会发展计划执行情况与202</w:t>
      </w:r>
      <w:r>
        <w:rPr>
          <w:rFonts w:hint="eastAsia" w:ascii="Times New Roman"/>
          <w:kern w:val="2"/>
          <w:highlight w:val="none"/>
          <w:lang w:val="en-US" w:eastAsia="zh-CN"/>
        </w:rPr>
        <w:t>5</w:t>
      </w:r>
      <w:r>
        <w:rPr>
          <w:rFonts w:hint="eastAsia" w:ascii="Times New Roman"/>
          <w:kern w:val="2"/>
          <w:highlight w:val="none"/>
        </w:rPr>
        <w:t>年国民经济和社会发展计划草案，请予审议。</w:t>
      </w:r>
    </w:p>
    <w:p w14:paraId="2188CBEF">
      <w:pPr>
        <w:spacing w:line="580" w:lineRule="exact"/>
        <w:ind w:firstLine="604" w:firstLineChars="200"/>
        <w:rPr>
          <w:rFonts w:ascii="Times New Roman"/>
          <w:kern w:val="2"/>
          <w:highlight w:val="none"/>
        </w:rPr>
      </w:pPr>
      <w:r>
        <w:rPr>
          <w:rFonts w:hint="eastAsia" w:ascii="Times New Roman"/>
          <w:kern w:val="2"/>
          <w:highlight w:val="none"/>
        </w:rPr>
        <w:t>2024年，在市委、市政府的正确领导下，在市人大、市政协的监督支持下，全市上下坚持稳中求进工作总基调，牢牢把握高质量发展首要任务，扎实推进稳增长、促发展、惠民生各项政策落地落实，全方位推动经济社会高质量发展，主要指标预计完成情况如下：</w:t>
      </w:r>
    </w:p>
    <w:p w14:paraId="01C844BA">
      <w:pPr>
        <w:spacing w:line="580" w:lineRule="exact"/>
        <w:ind w:firstLine="604" w:firstLineChars="200"/>
        <w:rPr>
          <w:rFonts w:ascii="Times New Roman"/>
          <w:kern w:val="2"/>
          <w:highlight w:val="none"/>
        </w:rPr>
      </w:pPr>
      <w:r>
        <w:rPr>
          <w:rFonts w:hint="eastAsia" w:ascii="Times New Roman"/>
          <w:kern w:val="2"/>
          <w:highlight w:val="none"/>
        </w:rPr>
        <w:t>（一）地区生产总值增长6%左右；</w:t>
      </w:r>
    </w:p>
    <w:p w14:paraId="0A3888E8">
      <w:pPr>
        <w:spacing w:line="580" w:lineRule="exact"/>
        <w:ind w:firstLine="604" w:firstLineChars="200"/>
        <w:rPr>
          <w:rFonts w:ascii="Times New Roman"/>
          <w:kern w:val="2"/>
          <w:highlight w:val="none"/>
        </w:rPr>
      </w:pPr>
      <w:r>
        <w:rPr>
          <w:rFonts w:hint="eastAsia" w:ascii="Times New Roman"/>
          <w:kern w:val="2"/>
          <w:highlight w:val="none"/>
        </w:rPr>
        <w:t>（二）一般公共预算收入增长1.</w:t>
      </w:r>
      <w:r>
        <w:rPr>
          <w:rFonts w:hint="eastAsia" w:ascii="Times New Roman"/>
          <w:kern w:val="2"/>
          <w:highlight w:val="none"/>
          <w:lang w:val="en-US" w:eastAsia="zh-CN"/>
        </w:rPr>
        <w:t>6</w:t>
      </w:r>
      <w:r>
        <w:rPr>
          <w:rFonts w:hint="eastAsia" w:ascii="Times New Roman"/>
          <w:kern w:val="2"/>
          <w:highlight w:val="none"/>
        </w:rPr>
        <w:t>%；</w:t>
      </w:r>
    </w:p>
    <w:p w14:paraId="5EC49AD8">
      <w:pPr>
        <w:spacing w:line="580" w:lineRule="exact"/>
        <w:ind w:firstLine="604" w:firstLineChars="200"/>
        <w:rPr>
          <w:rFonts w:ascii="Times New Roman"/>
          <w:kern w:val="2"/>
          <w:highlight w:val="none"/>
        </w:rPr>
      </w:pPr>
      <w:r>
        <w:rPr>
          <w:rFonts w:hint="eastAsia" w:ascii="Times New Roman"/>
          <w:kern w:val="2"/>
          <w:highlight w:val="none"/>
        </w:rPr>
        <w:t>（三）规模以上工业增加值增长</w:t>
      </w:r>
      <w:r>
        <w:rPr>
          <w:rFonts w:hint="eastAsia" w:ascii="Times New Roman" w:hAnsi="Times New Roman" w:eastAsia="方正仿宋_GBK" w:cs="方正仿宋_GBK"/>
          <w:strike w:val="0"/>
          <w:dstrike w:val="0"/>
          <w:color w:val="000000" w:themeColor="text1"/>
          <w:kern w:val="2"/>
          <w:szCs w:val="24"/>
          <w:highlight w:val="none"/>
          <w:u w:val="none"/>
          <w:lang w:val="en-US" w:eastAsia="zh-CN"/>
        </w:rPr>
        <w:t>7.3%以上</w:t>
      </w:r>
      <w:r>
        <w:rPr>
          <w:rFonts w:hint="eastAsia" w:ascii="Times New Roman"/>
          <w:kern w:val="2"/>
          <w:highlight w:val="none"/>
        </w:rPr>
        <w:t>；</w:t>
      </w:r>
    </w:p>
    <w:p w14:paraId="0D145EE9">
      <w:pPr>
        <w:spacing w:line="580" w:lineRule="exact"/>
        <w:ind w:firstLine="604" w:firstLineChars="200"/>
        <w:rPr>
          <w:rFonts w:ascii="Times New Roman"/>
          <w:kern w:val="2"/>
          <w:highlight w:val="none"/>
        </w:rPr>
      </w:pPr>
      <w:r>
        <w:rPr>
          <w:rFonts w:hint="eastAsia" w:ascii="Times New Roman"/>
          <w:kern w:val="2"/>
          <w:highlight w:val="none"/>
        </w:rPr>
        <w:t>（四）规上服务业营业收入实现正增长；</w:t>
      </w:r>
    </w:p>
    <w:p w14:paraId="22709889">
      <w:pPr>
        <w:spacing w:line="580" w:lineRule="exact"/>
        <w:ind w:firstLine="604" w:firstLineChars="200"/>
        <w:rPr>
          <w:rFonts w:ascii="Times New Roman"/>
          <w:kern w:val="2"/>
          <w:highlight w:val="none"/>
        </w:rPr>
      </w:pPr>
      <w:r>
        <w:rPr>
          <w:rFonts w:hint="eastAsia" w:ascii="Times New Roman"/>
          <w:kern w:val="2"/>
          <w:highlight w:val="none"/>
        </w:rPr>
        <w:t>（五）固定资产投资完成920亿元；</w:t>
      </w:r>
    </w:p>
    <w:p w14:paraId="672611AB">
      <w:pPr>
        <w:spacing w:line="580" w:lineRule="exact"/>
        <w:ind w:firstLine="604" w:firstLineChars="200"/>
        <w:rPr>
          <w:rFonts w:ascii="Times New Roman"/>
          <w:kern w:val="2"/>
          <w:highlight w:val="none"/>
        </w:rPr>
      </w:pPr>
      <w:r>
        <w:rPr>
          <w:rFonts w:hint="eastAsia" w:ascii="Times New Roman"/>
          <w:kern w:val="2"/>
          <w:highlight w:val="none"/>
        </w:rPr>
        <w:t>（六）社会消费品零售总额增长1.5%；</w:t>
      </w:r>
    </w:p>
    <w:p w14:paraId="79081A4F">
      <w:pPr>
        <w:spacing w:line="580" w:lineRule="exact"/>
        <w:ind w:firstLine="604" w:firstLineChars="200"/>
        <w:rPr>
          <w:rFonts w:ascii="Times New Roman"/>
          <w:kern w:val="2"/>
          <w:highlight w:val="none"/>
        </w:rPr>
      </w:pPr>
      <w:r>
        <w:rPr>
          <w:rFonts w:hint="eastAsia" w:ascii="Times New Roman"/>
          <w:kern w:val="2"/>
          <w:highlight w:val="none"/>
        </w:rPr>
        <w:t>（七）进出口总额增长10.6%；</w:t>
      </w:r>
    </w:p>
    <w:p w14:paraId="2D6AB464">
      <w:pPr>
        <w:spacing w:line="580" w:lineRule="exact"/>
        <w:ind w:firstLine="604" w:firstLineChars="200"/>
        <w:rPr>
          <w:rFonts w:ascii="Times New Roman"/>
          <w:kern w:val="2"/>
          <w:highlight w:val="none"/>
        </w:rPr>
      </w:pPr>
      <w:r>
        <w:rPr>
          <w:rFonts w:hint="eastAsia" w:ascii="Times New Roman"/>
          <w:kern w:val="2"/>
          <w:highlight w:val="none"/>
        </w:rPr>
        <w:t>（八）实际使用外资11.7亿美元；</w:t>
      </w:r>
    </w:p>
    <w:p w14:paraId="2D2C3915">
      <w:pPr>
        <w:spacing w:line="580" w:lineRule="exact"/>
        <w:ind w:firstLine="604" w:firstLineChars="200"/>
        <w:rPr>
          <w:rFonts w:ascii="Times New Roman"/>
          <w:kern w:val="2"/>
          <w:highlight w:val="none"/>
        </w:rPr>
      </w:pPr>
      <w:r>
        <w:rPr>
          <w:rFonts w:hint="eastAsia" w:ascii="Times New Roman"/>
          <w:kern w:val="2"/>
          <w:highlight w:val="none"/>
        </w:rPr>
        <w:t>（九）居民人均可支配收入与经济增长基本同步；</w:t>
      </w:r>
    </w:p>
    <w:p w14:paraId="748AC3A6">
      <w:pPr>
        <w:spacing w:line="580" w:lineRule="exact"/>
        <w:ind w:firstLine="604" w:firstLineChars="200"/>
        <w:rPr>
          <w:rFonts w:ascii="Times New Roman"/>
          <w:kern w:val="2"/>
          <w:highlight w:val="none"/>
        </w:rPr>
      </w:pPr>
      <w:r>
        <w:rPr>
          <w:rFonts w:hint="eastAsia" w:ascii="Times New Roman"/>
          <w:kern w:val="2"/>
          <w:highlight w:val="none"/>
        </w:rPr>
        <w:t>（十）城镇新增就业人数超2.6万人，城镇调查失业率控制在5%左右；</w:t>
      </w:r>
    </w:p>
    <w:p w14:paraId="0BD92910">
      <w:pPr>
        <w:spacing w:line="580" w:lineRule="exact"/>
        <w:ind w:firstLine="604" w:firstLineChars="200"/>
        <w:rPr>
          <w:rFonts w:ascii="Times New Roman"/>
          <w:kern w:val="2"/>
          <w:highlight w:val="none"/>
        </w:rPr>
      </w:pPr>
      <w:r>
        <w:rPr>
          <w:rFonts w:hint="eastAsia" w:ascii="Times New Roman"/>
          <w:kern w:val="2"/>
          <w:highlight w:val="none"/>
        </w:rPr>
        <w:t>（十一）单位GDP能耗下降3.5%，完成上级下达的目标任务；</w:t>
      </w:r>
    </w:p>
    <w:p w14:paraId="66459F29">
      <w:pPr>
        <w:spacing w:line="580" w:lineRule="exact"/>
        <w:ind w:firstLine="604" w:firstLineChars="200"/>
        <w:rPr>
          <w:rFonts w:ascii="Times New Roman"/>
          <w:kern w:val="2"/>
          <w:highlight w:val="none"/>
        </w:rPr>
      </w:pPr>
      <w:r>
        <w:rPr>
          <w:rFonts w:hint="eastAsia" w:ascii="Times New Roman"/>
          <w:kern w:val="2"/>
          <w:highlight w:val="none"/>
        </w:rPr>
        <w:t>（十二）化学需氧量、氨氮、挥发性有机物和氮氧化物等主要污染物减排量完成上级下达目标任务；</w:t>
      </w:r>
    </w:p>
    <w:p w14:paraId="0E7A0A0D">
      <w:pPr>
        <w:spacing w:line="580" w:lineRule="exact"/>
        <w:ind w:firstLine="604" w:firstLineChars="200"/>
        <w:rPr>
          <w:rFonts w:ascii="Times New Roman"/>
          <w:kern w:val="2"/>
          <w:highlight w:val="none"/>
        </w:rPr>
      </w:pPr>
      <w:r>
        <w:rPr>
          <w:rFonts w:hint="eastAsia" w:ascii="Times New Roman"/>
          <w:kern w:val="2"/>
          <w:highlight w:val="none"/>
        </w:rPr>
        <w:t>（十三）PM</w:t>
      </w:r>
      <w:r>
        <w:rPr>
          <w:rFonts w:hint="eastAsia" w:ascii="Times New Roman"/>
          <w:kern w:val="2"/>
          <w:highlight w:val="none"/>
          <w:vertAlign w:val="subscript"/>
        </w:rPr>
        <w:t>2.5</w:t>
      </w:r>
      <w:r>
        <w:rPr>
          <w:rFonts w:hint="eastAsia" w:ascii="Times New Roman"/>
          <w:kern w:val="2"/>
          <w:highlight w:val="none"/>
        </w:rPr>
        <w:t>年均浓度、空气质量优良天数比率、地表水达到或好于Ⅲ类水体比例分别为32</w:t>
      </w:r>
      <w:r>
        <w:rPr>
          <w:rFonts w:hint="eastAsia" w:ascii="Times New Roman"/>
          <w:kern w:val="2"/>
          <w:highlight w:val="none"/>
          <w:lang w:val="en-US" w:eastAsia="zh-CN"/>
        </w:rPr>
        <w:t>.6</w:t>
      </w:r>
      <w:r>
        <w:rPr>
          <w:rFonts w:hint="eastAsia" w:ascii="Times New Roman"/>
          <w:kern w:val="2"/>
          <w:highlight w:val="none"/>
        </w:rPr>
        <w:t>微克/立方米、8</w:t>
      </w:r>
      <w:r>
        <w:rPr>
          <w:rFonts w:hint="eastAsia" w:ascii="Times New Roman"/>
          <w:kern w:val="2"/>
          <w:highlight w:val="none"/>
          <w:lang w:val="en-US" w:eastAsia="zh-CN"/>
        </w:rPr>
        <w:t>1.1</w:t>
      </w:r>
      <w:r>
        <w:rPr>
          <w:rFonts w:hint="eastAsia" w:ascii="Times New Roman"/>
          <w:kern w:val="2"/>
          <w:highlight w:val="none"/>
        </w:rPr>
        <w:t>%、100%。</w:t>
      </w:r>
    </w:p>
    <w:p w14:paraId="009D2C34">
      <w:pPr>
        <w:spacing w:line="580" w:lineRule="exact"/>
        <w:ind w:firstLine="604" w:firstLineChars="200"/>
        <w:rPr>
          <w:rFonts w:ascii="Times New Roman" w:eastAsia="方正黑体_GBK"/>
          <w:kern w:val="2"/>
          <w:highlight w:val="none"/>
        </w:rPr>
      </w:pPr>
      <w:r>
        <w:rPr>
          <w:rFonts w:hint="eastAsia" w:ascii="Times New Roman" w:eastAsia="方正黑体_GBK"/>
          <w:kern w:val="2"/>
          <w:highlight w:val="none"/>
        </w:rPr>
        <w:t>一、2024年国民经济和社会发展主要情况</w:t>
      </w:r>
    </w:p>
    <w:p w14:paraId="24023532">
      <w:pPr>
        <w:pStyle w:val="2"/>
        <w:spacing w:before="0" w:line="580" w:lineRule="exact"/>
        <w:ind w:left="0" w:right="0"/>
        <w:rPr>
          <w:rFonts w:ascii="Times New Roman" w:hAnsi="Times New Roman"/>
          <w:highlight w:val="none"/>
          <w:lang w:val="en-US" w:bidi="ar-SA"/>
        </w:rPr>
      </w:pPr>
      <w:r>
        <w:rPr>
          <w:rFonts w:hint="eastAsia" w:ascii="Times New Roman" w:hAnsi="Times New Roman" w:eastAsia="方正楷体_GBK" w:cs="Times New Roman"/>
          <w:b/>
          <w:kern w:val="2"/>
          <w:highlight w:val="none"/>
        </w:rPr>
        <w:t>（一）经济</w:t>
      </w:r>
      <w:r>
        <w:rPr>
          <w:rFonts w:hint="eastAsia" w:ascii="Times New Roman" w:hAnsi="Times New Roman" w:eastAsia="方正楷体_GBK" w:cs="Times New Roman"/>
          <w:b/>
          <w:kern w:val="2"/>
          <w:highlight w:val="none"/>
          <w:lang w:val="en-US"/>
        </w:rPr>
        <w:t>稳步</w:t>
      </w:r>
      <w:r>
        <w:rPr>
          <w:rFonts w:hint="eastAsia" w:ascii="Times New Roman" w:hAnsi="Times New Roman" w:eastAsia="方正楷体_GBK" w:cs="Times New Roman"/>
          <w:b/>
          <w:kern w:val="2"/>
          <w:highlight w:val="none"/>
        </w:rPr>
        <w:t>回升向好。</w:t>
      </w:r>
      <w:r>
        <w:rPr>
          <w:rFonts w:hint="eastAsia" w:ascii="Times New Roman" w:hAnsi="Times New Roman" w:eastAsia="方正楷体_GBK" w:cs="Times New Roman"/>
          <w:kern w:val="2"/>
          <w:highlight w:val="none"/>
          <w:lang w:val="en-US"/>
        </w:rPr>
        <w:t>产业基础不断夯实</w:t>
      </w:r>
      <w:r>
        <w:rPr>
          <w:rFonts w:hint="eastAsia" w:ascii="Times New Roman" w:hAnsi="Times New Roman" w:cs="Times New Roman"/>
          <w:kern w:val="2"/>
          <w:highlight w:val="none"/>
          <w:lang w:val="en-US"/>
        </w:rPr>
        <w:t>。</w:t>
      </w:r>
      <w:r>
        <w:rPr>
          <w:rFonts w:hint="eastAsia" w:ascii="Times New Roman" w:hAnsi="Times New Roman" w:cs="方正仿宋_GBK"/>
          <w:spacing w:val="6"/>
          <w:kern w:val="21"/>
          <w:highlight w:val="none"/>
          <w:lang w:val="en-US" w:bidi="ar-SA"/>
        </w:rPr>
        <w:t>预计完成规上工业产值7500亿元、增长4.7%。</w:t>
      </w:r>
      <w:r>
        <w:rPr>
          <w:rFonts w:hint="eastAsia" w:ascii="Times New Roman" w:hAnsi="Times New Roman" w:eastAsia="方正仿宋_GBK" w:cs="方正仿宋_GBK"/>
          <w:color w:val="000000" w:themeColor="text1"/>
          <w:kern w:val="2"/>
          <w:szCs w:val="24"/>
          <w:highlight w:val="none"/>
          <w:u w:val="none"/>
        </w:rPr>
        <w:t>新增国家制造业单项冠军企业2家、专精特新“小巨人”企业18家</w:t>
      </w:r>
      <w:r>
        <w:rPr>
          <w:rFonts w:hint="eastAsia" w:ascii="Times New Roman" w:hAnsi="Times New Roman" w:eastAsia="方正仿宋_GBK" w:cs="方正仿宋_GBK"/>
          <w:color w:val="000000" w:themeColor="text1"/>
          <w:kern w:val="2"/>
          <w:szCs w:val="24"/>
          <w:highlight w:val="none"/>
          <w:u w:val="none"/>
          <w:lang w:eastAsia="zh-CN"/>
        </w:rPr>
        <w:t>，获评</w:t>
      </w:r>
      <w:r>
        <w:rPr>
          <w:rFonts w:hint="eastAsia" w:ascii="Times New Roman" w:hAnsi="Times New Roman" w:eastAsia="方正仿宋_GBK" w:cs="方正仿宋_GBK"/>
          <w:color w:val="000000" w:themeColor="text1"/>
          <w:kern w:val="2"/>
          <w:szCs w:val="24"/>
          <w:highlight w:val="none"/>
          <w:u w:val="none"/>
        </w:rPr>
        <w:t>省制造业领航企业10家</w:t>
      </w:r>
      <w:r>
        <w:rPr>
          <w:rFonts w:hint="eastAsia" w:ascii="Times New Roman" w:hAnsi="Times New Roman" w:cs="方正仿宋_GBK"/>
          <w:spacing w:val="6"/>
          <w:kern w:val="21"/>
          <w:highlight w:val="none"/>
          <w:lang w:val="en-US" w:bidi="ar-SA"/>
        </w:rPr>
        <w:t>。</w:t>
      </w:r>
      <w:r>
        <w:rPr>
          <w:rFonts w:hint="eastAsia" w:ascii="Times New Roman" w:hAnsi="Times New Roman" w:eastAsia="方正仿宋_GBK" w:cs="方正仿宋_GBK"/>
          <w:color w:val="000000" w:themeColor="text1"/>
          <w:kern w:val="2"/>
          <w:szCs w:val="24"/>
          <w:highlight w:val="none"/>
          <w:u w:val="none"/>
        </w:rPr>
        <w:t>特钢新材料及金属制品产业集群入围省中小企业特色产业集群</w:t>
      </w:r>
      <w:r>
        <w:rPr>
          <w:rFonts w:hint="eastAsia" w:ascii="Times New Roman" w:hAnsi="Times New Roman" w:cs="方正仿宋_GBK"/>
          <w:spacing w:val="6"/>
          <w:kern w:val="21"/>
          <w:highlight w:val="none"/>
          <w:lang w:val="en-US" w:bidi="ar-SA"/>
        </w:rPr>
        <w:t>。</w:t>
      </w:r>
      <w:r>
        <w:rPr>
          <w:rFonts w:hint="eastAsia" w:ascii="Times New Roman" w:hAnsi="Times New Roman" w:eastAsia="方正仿宋_GBK" w:cs="方正仿宋_GBK"/>
          <w:color w:val="000000" w:themeColor="text1"/>
          <w:kern w:val="2"/>
          <w:szCs w:val="24"/>
          <w:highlight w:val="none"/>
          <w:u w:val="none"/>
        </w:rPr>
        <w:t>入选省服务业重点项目4个</w:t>
      </w:r>
      <w:r>
        <w:rPr>
          <w:rFonts w:hint="eastAsia" w:ascii="Times New Roman" w:hAnsi="Times New Roman" w:eastAsia="方正仿宋_GBK" w:cs="方正仿宋_GBK"/>
          <w:color w:val="000000" w:themeColor="text1"/>
          <w:kern w:val="2"/>
          <w:szCs w:val="24"/>
          <w:highlight w:val="none"/>
          <w:u w:val="none"/>
          <w:lang w:eastAsia="zh-CN"/>
        </w:rPr>
        <w:t>，</w:t>
      </w:r>
      <w:r>
        <w:rPr>
          <w:rFonts w:hint="eastAsia" w:ascii="Times New Roman" w:hAnsi="Times New Roman" w:eastAsia="方正仿宋_GBK" w:cs="方正仿宋_GBK"/>
          <w:color w:val="000000" w:themeColor="text1"/>
          <w:kern w:val="2"/>
          <w:szCs w:val="24"/>
          <w:highlight w:val="none"/>
          <w:u w:val="none"/>
        </w:rPr>
        <w:t>新增无锡市总部企业4家</w:t>
      </w:r>
      <w:r>
        <w:rPr>
          <w:rFonts w:hint="eastAsia" w:ascii="Times New Roman" w:hAnsi="Times New Roman" w:cs="方正仿宋_GBK"/>
          <w:spacing w:val="6"/>
          <w:kern w:val="21"/>
          <w:highlight w:val="none"/>
          <w:lang w:val="en-US" w:bidi="ar-SA"/>
        </w:rPr>
        <w:t>。</w:t>
      </w:r>
      <w:r>
        <w:rPr>
          <w:rFonts w:hint="eastAsia" w:ascii="Times New Roman" w:hAnsi="Times New Roman" w:eastAsia="方正楷体_GBK" w:cs="Times New Roman"/>
          <w:kern w:val="2"/>
          <w:highlight w:val="none"/>
          <w:lang w:val="en-US"/>
        </w:rPr>
        <w:t>消费市场稳步增长。</w:t>
      </w:r>
      <w:r>
        <w:rPr>
          <w:rFonts w:ascii="Times New Roman" w:hAnsi="Times New Roman" w:cs="Times New Roman"/>
          <w:kern w:val="2"/>
          <w:szCs w:val="24"/>
          <w:highlight w:val="none"/>
        </w:rPr>
        <w:t>引入</w:t>
      </w:r>
      <w:r>
        <w:rPr>
          <w:rFonts w:ascii="Times New Roman" w:hAnsi="Times New Roman" w:cs="方正仿宋_GBK"/>
          <w:color w:val="000000"/>
          <w:kern w:val="0"/>
          <w:sz w:val="31"/>
          <w:szCs w:val="31"/>
          <w:highlight w:val="none"/>
          <w:lang w:val="en-US"/>
        </w:rPr>
        <w:t>京东奥莱、大润发M会员店等</w:t>
      </w:r>
      <w:r>
        <w:rPr>
          <w:rFonts w:hint="eastAsia" w:ascii="Times New Roman" w:hAnsi="Times New Roman" w:eastAsia="方正仿宋_GBK" w:cs="方正仿宋_GBK"/>
          <w:color w:val="000000" w:themeColor="text1"/>
          <w:spacing w:val="0"/>
          <w:kern w:val="2"/>
          <w:sz w:val="32"/>
          <w:szCs w:val="24"/>
          <w:highlight w:val="none"/>
          <w:u w:val="none"/>
          <w:lang w:val="en-US" w:eastAsia="zh-CN"/>
        </w:rPr>
        <w:t>江阴</w:t>
      </w:r>
      <w:r>
        <w:rPr>
          <w:rFonts w:hint="eastAsia" w:ascii="Times New Roman" w:hAnsi="Times New Roman" w:eastAsia="方正仿宋_GBK" w:cs="方正仿宋_GBK"/>
          <w:color w:val="000000" w:themeColor="text1"/>
          <w:spacing w:val="0"/>
          <w:kern w:val="2"/>
          <w:sz w:val="32"/>
          <w:szCs w:val="24"/>
          <w:highlight w:val="none"/>
          <w:u w:val="none"/>
        </w:rPr>
        <w:t>首店</w:t>
      </w:r>
      <w:r>
        <w:rPr>
          <w:rFonts w:ascii="Times New Roman" w:hAnsi="Times New Roman" w:cs="方正仿宋_GBK"/>
          <w:color w:val="000000"/>
          <w:kern w:val="0"/>
          <w:sz w:val="31"/>
          <w:szCs w:val="31"/>
          <w:highlight w:val="none"/>
          <w:lang w:val="en-US"/>
        </w:rPr>
        <w:t>3</w:t>
      </w:r>
      <w:r>
        <w:rPr>
          <w:rFonts w:hint="eastAsia" w:ascii="Times New Roman" w:hAnsi="Times New Roman" w:cs="方正仿宋_GBK"/>
          <w:color w:val="000000"/>
          <w:kern w:val="0"/>
          <w:sz w:val="31"/>
          <w:szCs w:val="31"/>
          <w:highlight w:val="none"/>
          <w:lang w:val="en-US" w:eastAsia="zh-CN"/>
        </w:rPr>
        <w:t>5</w:t>
      </w:r>
      <w:r>
        <w:rPr>
          <w:rFonts w:ascii="Times New Roman" w:hAnsi="Times New Roman" w:cs="方正仿宋_GBK"/>
          <w:color w:val="000000"/>
          <w:kern w:val="0"/>
          <w:sz w:val="31"/>
          <w:szCs w:val="31"/>
          <w:highlight w:val="none"/>
          <w:lang w:val="en-US"/>
        </w:rPr>
        <w:t>家</w:t>
      </w:r>
      <w:r>
        <w:rPr>
          <w:rFonts w:hint="eastAsia" w:ascii="Times New Roman" w:hAnsi="Times New Roman" w:cs="方正仿宋_GBK"/>
          <w:color w:val="000000"/>
          <w:kern w:val="0"/>
          <w:sz w:val="31"/>
          <w:szCs w:val="31"/>
          <w:highlight w:val="none"/>
          <w:lang w:val="en-US"/>
        </w:rPr>
        <w:t>，</w:t>
      </w:r>
      <w:r>
        <w:rPr>
          <w:rFonts w:hint="eastAsia" w:ascii="Times New Roman" w:hAnsi="Times New Roman" w:eastAsia="方正仿宋_GBK" w:cs="方正仿宋_GBK"/>
          <w:color w:val="000000" w:themeColor="text1"/>
          <w:kern w:val="2"/>
          <w:szCs w:val="24"/>
          <w:highlight w:val="none"/>
          <w:u w:val="none"/>
          <w:lang w:val="en-US" w:eastAsia="zh-CN"/>
        </w:rPr>
        <w:t>城发金茂嘉悦酒店建成投用</w:t>
      </w:r>
      <w:r>
        <w:rPr>
          <w:rFonts w:hint="eastAsia" w:ascii="Times New Roman" w:hAnsi="Times New Roman" w:cs="方正仿宋_GBK"/>
          <w:color w:val="000000" w:themeColor="text1"/>
          <w:kern w:val="2"/>
          <w:szCs w:val="24"/>
          <w:highlight w:val="none"/>
          <w:u w:val="none"/>
          <w:lang w:val="en-US" w:eastAsia="zh-CN"/>
        </w:rPr>
        <w:t>。</w:t>
      </w:r>
      <w:r>
        <w:rPr>
          <w:rFonts w:hint="eastAsia" w:ascii="Times New Roman" w:hAnsi="Times New Roman" w:eastAsia="方正仿宋_GBK" w:cs="方正仿宋_GBK"/>
          <w:color w:val="000000" w:themeColor="text1"/>
          <w:kern w:val="2"/>
          <w:szCs w:val="24"/>
          <w:highlight w:val="none"/>
          <w:u w:val="none"/>
          <w:lang w:val="en-US" w:eastAsia="zh-CN"/>
        </w:rPr>
        <w:t>发放汽车、家电家居等各类促消费补贴约2亿元、拉动消费转化销售超21亿元</w:t>
      </w:r>
      <w:r>
        <w:rPr>
          <w:rFonts w:hint="eastAsia" w:ascii="Times New Roman" w:hAnsi="Times New Roman" w:eastAsia="方正仿宋_GBK" w:cs="方正仿宋_GBK"/>
          <w:color w:val="000000" w:themeColor="text1"/>
          <w:kern w:val="2"/>
          <w:szCs w:val="24"/>
          <w:highlight w:val="none"/>
          <w:u w:val="none"/>
          <w:lang w:eastAsia="zh-CN"/>
        </w:rPr>
        <w:t>。</w:t>
      </w:r>
      <w:r>
        <w:rPr>
          <w:rFonts w:hint="eastAsia" w:ascii="Times New Roman" w:hAnsi="Times New Roman" w:eastAsia="方正仿宋_GBK" w:cs="方正仿宋_GBK"/>
          <w:color w:val="000000" w:themeColor="text1"/>
          <w:kern w:val="2"/>
          <w:szCs w:val="24"/>
          <w:highlight w:val="none"/>
          <w:u w:val="none"/>
          <w:lang w:val="en-US" w:eastAsia="zh-CN"/>
        </w:rPr>
        <w:t>推出房地产“澄八条”政策，</w:t>
      </w:r>
      <w:r>
        <w:rPr>
          <w:rFonts w:hint="eastAsia" w:ascii="Times New Roman" w:hAnsi="Times New Roman" w:eastAsia="方正仿宋_GBK" w:cs="方正仿宋_GBK"/>
          <w:color w:val="000000" w:themeColor="text1"/>
          <w:kern w:val="2"/>
          <w:szCs w:val="24"/>
          <w:highlight w:val="none"/>
          <w:u w:val="none"/>
        </w:rPr>
        <w:t>房票</w:t>
      </w:r>
      <w:r>
        <w:rPr>
          <w:rFonts w:hint="eastAsia" w:ascii="Times New Roman" w:hAnsi="Times New Roman" w:eastAsia="方正仿宋_GBK" w:cs="方正仿宋_GBK"/>
          <w:color w:val="000000" w:themeColor="text1"/>
          <w:kern w:val="2"/>
          <w:szCs w:val="24"/>
          <w:highlight w:val="none"/>
          <w:u w:val="none"/>
          <w:lang w:val="en-US" w:eastAsia="zh-CN"/>
        </w:rPr>
        <w:t>安置</w:t>
      </w:r>
      <w:r>
        <w:rPr>
          <w:rFonts w:hint="eastAsia" w:ascii="Times New Roman" w:hAnsi="Times New Roman" w:eastAsia="方正仿宋_GBK" w:cs="方正仿宋_GBK"/>
          <w:color w:val="000000" w:themeColor="text1"/>
          <w:kern w:val="2"/>
          <w:szCs w:val="24"/>
          <w:highlight w:val="none"/>
          <w:u w:val="none"/>
        </w:rPr>
        <w:t>扩大至全市域，累计开具</w:t>
      </w:r>
      <w:r>
        <w:rPr>
          <w:rFonts w:hint="eastAsia" w:ascii="Times New Roman" w:hAnsi="Times New Roman" w:eastAsia="方正仿宋_GBK" w:cs="方正仿宋_GBK"/>
          <w:color w:val="000000" w:themeColor="text1"/>
          <w:kern w:val="2"/>
          <w:szCs w:val="24"/>
          <w:highlight w:val="none"/>
          <w:u w:val="none"/>
          <w:lang w:val="en-US" w:eastAsia="zh-CN"/>
        </w:rPr>
        <w:t>644</w:t>
      </w:r>
      <w:r>
        <w:rPr>
          <w:rFonts w:hint="eastAsia" w:ascii="Times New Roman" w:hAnsi="Times New Roman" w:eastAsia="方正仿宋_GBK" w:cs="方正仿宋_GBK"/>
          <w:color w:val="000000" w:themeColor="text1"/>
          <w:kern w:val="2"/>
          <w:szCs w:val="24"/>
          <w:highlight w:val="none"/>
          <w:u w:val="none"/>
        </w:rPr>
        <w:t>张</w:t>
      </w:r>
      <w:r>
        <w:rPr>
          <w:rFonts w:hint="eastAsia" w:ascii="Times New Roman" w:hAnsi="Times New Roman" w:eastAsia="方正仿宋_GBK" w:cs="方正仿宋_GBK"/>
          <w:color w:val="000000" w:themeColor="text1"/>
          <w:kern w:val="2"/>
          <w:szCs w:val="24"/>
          <w:highlight w:val="none"/>
          <w:u w:val="none"/>
          <w:lang w:eastAsia="zh-CN"/>
        </w:rPr>
        <w:t>、使用</w:t>
      </w:r>
      <w:r>
        <w:rPr>
          <w:rFonts w:hint="eastAsia" w:ascii="Times New Roman" w:hAnsi="Times New Roman" w:eastAsia="方正仿宋_GBK" w:cs="方正仿宋_GBK"/>
          <w:color w:val="000000" w:themeColor="text1"/>
          <w:kern w:val="2"/>
          <w:szCs w:val="24"/>
          <w:highlight w:val="none"/>
          <w:u w:val="none"/>
          <w:lang w:val="en-US" w:eastAsia="zh-CN"/>
        </w:rPr>
        <w:t>519张；住房“以旧换新”成交122套</w:t>
      </w:r>
      <w:r>
        <w:rPr>
          <w:rFonts w:hint="eastAsia" w:ascii="Times New Roman" w:hAnsi="Times New Roman" w:eastAsia="方正仿宋_GBK" w:cs="方正仿宋_GBK"/>
          <w:color w:val="000000" w:themeColor="text1"/>
          <w:kern w:val="2"/>
          <w:szCs w:val="24"/>
          <w:highlight w:val="none"/>
          <w:u w:val="none"/>
        </w:rPr>
        <w:t>。</w:t>
      </w:r>
      <w:r>
        <w:rPr>
          <w:rFonts w:hint="eastAsia" w:ascii="Times New Roman" w:hAnsi="Times New Roman" w:eastAsia="方正楷体_GBK" w:cs="Times New Roman"/>
          <w:kern w:val="2"/>
          <w:highlight w:val="none"/>
          <w:lang w:val="en-US"/>
        </w:rPr>
        <w:t>市场活力有效提升</w:t>
      </w:r>
      <w:r>
        <w:rPr>
          <w:rFonts w:hint="eastAsia" w:ascii="Times New Roman" w:hAnsi="Times New Roman" w:cs="方正仿宋_GBK"/>
          <w:spacing w:val="6"/>
          <w:kern w:val="21"/>
          <w:highlight w:val="none"/>
          <w:lang w:val="en-US" w:bidi="ar-SA"/>
        </w:rPr>
        <w:t>。年度新增入库“四上”单位</w:t>
      </w:r>
      <w:r>
        <w:rPr>
          <w:rFonts w:hint="eastAsia" w:ascii="Times New Roman" w:hAnsi="Times New Roman"/>
          <w:highlight w:val="none"/>
          <w:lang w:val="en-US" w:eastAsia="zh-CN"/>
        </w:rPr>
        <w:t>超400</w:t>
      </w:r>
      <w:r>
        <w:rPr>
          <w:rFonts w:hint="eastAsia" w:ascii="Times New Roman" w:hAnsi="Times New Roman"/>
          <w:highlight w:val="none"/>
          <w:lang w:val="en-US"/>
        </w:rPr>
        <w:t>家</w:t>
      </w:r>
      <w:r>
        <w:rPr>
          <w:rFonts w:hint="eastAsia" w:ascii="Times New Roman" w:hAnsi="Times New Roman" w:cs="方正仿宋_GBK"/>
          <w:spacing w:val="6"/>
          <w:kern w:val="21"/>
          <w:highlight w:val="none"/>
          <w:lang w:val="en-US" w:bidi="ar-SA"/>
        </w:rPr>
        <w:t>，新登记经营主体2.</w:t>
      </w:r>
      <w:r>
        <w:rPr>
          <w:rFonts w:hint="eastAsia" w:ascii="Times New Roman" w:hAnsi="Times New Roman" w:cs="方正仿宋_GBK"/>
          <w:spacing w:val="6"/>
          <w:kern w:val="21"/>
          <w:highlight w:val="none"/>
          <w:lang w:val="en-US" w:eastAsia="zh-CN" w:bidi="ar-SA"/>
        </w:rPr>
        <w:t>7</w:t>
      </w:r>
      <w:r>
        <w:rPr>
          <w:rFonts w:hint="eastAsia" w:ascii="Times New Roman" w:hAnsi="Times New Roman" w:cs="方正仿宋_GBK"/>
          <w:spacing w:val="6"/>
          <w:kern w:val="21"/>
          <w:highlight w:val="none"/>
          <w:lang w:val="en-US" w:bidi="ar-SA"/>
        </w:rPr>
        <w:t>万户，</w:t>
      </w:r>
      <w:r>
        <w:rPr>
          <w:rFonts w:hint="eastAsia" w:ascii="Times New Roman" w:hAnsi="Times New Roman" w:cs="方正仿宋_GBK"/>
          <w:color w:val="000000"/>
          <w:kern w:val="0"/>
          <w:sz w:val="31"/>
          <w:szCs w:val="31"/>
          <w:highlight w:val="none"/>
          <w:lang w:val="en-US"/>
        </w:rPr>
        <w:t>中国“企业、制造业、服务业、民营企业”500强榜单企业分别</w:t>
      </w:r>
      <w:r>
        <w:rPr>
          <w:rFonts w:hint="eastAsia" w:ascii="Times New Roman" w:hAnsi="Times New Roman" w:cs="方正仿宋_GBK"/>
          <w:spacing w:val="6"/>
          <w:kern w:val="21"/>
          <w:highlight w:val="none"/>
          <w:lang w:val="en-US" w:bidi="ar-SA"/>
        </w:rPr>
        <w:t>入</w:t>
      </w:r>
      <w:r>
        <w:rPr>
          <w:rFonts w:hint="eastAsia" w:ascii="Times New Roman" w:hAnsi="Times New Roman" w:cs="方正仿宋_GBK"/>
          <w:color w:val="000000"/>
          <w:kern w:val="0"/>
          <w:sz w:val="31"/>
          <w:szCs w:val="31"/>
          <w:highlight w:val="none"/>
          <w:lang w:val="en-US"/>
        </w:rPr>
        <w:t>围8家、13家、9家、12家。</w:t>
      </w:r>
      <w:r>
        <w:rPr>
          <w:rFonts w:hint="eastAsia" w:ascii="Times New Roman" w:hAnsi="Times New Roman" w:eastAsia="方正楷体_GBK" w:cs="Times New Roman"/>
          <w:kern w:val="2"/>
          <w:highlight w:val="none"/>
          <w:lang w:val="en-US"/>
        </w:rPr>
        <w:t>有效投入持续扩大</w:t>
      </w:r>
      <w:r>
        <w:rPr>
          <w:rFonts w:hint="eastAsia" w:ascii="Times New Roman" w:hAnsi="Times New Roman" w:cs="方正仿宋_GBK"/>
          <w:spacing w:val="6"/>
          <w:kern w:val="21"/>
          <w:highlight w:val="none"/>
          <w:lang w:val="en-US" w:bidi="ar-SA"/>
        </w:rPr>
        <w:t>。</w:t>
      </w:r>
      <w:r>
        <w:rPr>
          <w:rFonts w:hint="eastAsia" w:ascii="Times New Roman" w:hAnsi="Times New Roman"/>
          <w:highlight w:val="none"/>
          <w:lang w:val="en-US"/>
        </w:rPr>
        <w:t>省、无锡市、江阴市重大产业项目投资目标完成率分别达</w:t>
      </w:r>
      <w:r>
        <w:rPr>
          <w:rFonts w:ascii="Times New Roman" w:hAnsi="Times New Roman"/>
          <w:highlight w:val="none"/>
          <w:lang w:val="en-US"/>
        </w:rPr>
        <w:t>1</w:t>
      </w:r>
      <w:r>
        <w:rPr>
          <w:rFonts w:hint="eastAsia" w:ascii="Times New Roman" w:hAnsi="Times New Roman"/>
          <w:highlight w:val="none"/>
          <w:lang w:val="en-US"/>
        </w:rPr>
        <w:t>58</w:t>
      </w:r>
      <w:r>
        <w:rPr>
          <w:rFonts w:ascii="Times New Roman" w:hAnsi="Times New Roman"/>
          <w:highlight w:val="none"/>
          <w:lang w:val="en-US"/>
        </w:rPr>
        <w:t>%</w:t>
      </w:r>
      <w:r>
        <w:rPr>
          <w:rFonts w:hint="eastAsia" w:ascii="Times New Roman" w:hAnsi="Times New Roman"/>
          <w:highlight w:val="none"/>
          <w:lang w:val="en-US"/>
        </w:rPr>
        <w:t>、</w:t>
      </w:r>
      <w:r>
        <w:rPr>
          <w:rFonts w:ascii="Times New Roman" w:hAnsi="Times New Roman"/>
          <w:highlight w:val="none"/>
          <w:lang w:val="en-US"/>
        </w:rPr>
        <w:t>101%</w:t>
      </w:r>
      <w:r>
        <w:rPr>
          <w:rFonts w:hint="eastAsia" w:ascii="Times New Roman" w:hAnsi="Times New Roman"/>
          <w:highlight w:val="none"/>
          <w:lang w:val="en-US"/>
        </w:rPr>
        <w:t>、1</w:t>
      </w:r>
      <w:r>
        <w:rPr>
          <w:rFonts w:ascii="Times New Roman" w:hAnsi="Times New Roman"/>
          <w:highlight w:val="none"/>
          <w:lang w:val="en-US"/>
        </w:rPr>
        <w:t>0</w:t>
      </w:r>
      <w:r>
        <w:rPr>
          <w:rFonts w:hint="eastAsia" w:ascii="Times New Roman" w:hAnsi="Times New Roman"/>
          <w:highlight w:val="none"/>
          <w:lang w:val="en-US"/>
        </w:rPr>
        <w:t>5</w:t>
      </w:r>
      <w:r>
        <w:rPr>
          <w:rFonts w:ascii="Times New Roman" w:hAnsi="Times New Roman"/>
          <w:highlight w:val="none"/>
          <w:lang w:val="en-US"/>
        </w:rPr>
        <w:t>%</w:t>
      </w:r>
      <w:r>
        <w:rPr>
          <w:rFonts w:hint="eastAsia" w:ascii="Times New Roman" w:hAnsi="Times New Roman"/>
          <w:highlight w:val="none"/>
          <w:lang w:val="en-US"/>
        </w:rPr>
        <w:t>。新开工重大产业项目7</w:t>
      </w:r>
      <w:r>
        <w:rPr>
          <w:rFonts w:hint="eastAsia" w:ascii="Times New Roman" w:hAnsi="Times New Roman"/>
          <w:highlight w:val="none"/>
          <w:lang w:val="en-US" w:eastAsia="zh-CN"/>
        </w:rPr>
        <w:t>7</w:t>
      </w:r>
      <w:r>
        <w:rPr>
          <w:rFonts w:hint="eastAsia" w:ascii="Times New Roman" w:hAnsi="Times New Roman"/>
          <w:highlight w:val="none"/>
          <w:lang w:val="en-US"/>
        </w:rPr>
        <w:t>个、竣工</w:t>
      </w:r>
      <w:r>
        <w:rPr>
          <w:rFonts w:hint="eastAsia" w:ascii="Times New Roman" w:hAnsi="Times New Roman"/>
          <w:highlight w:val="none"/>
          <w:lang w:val="en-US" w:eastAsia="zh-CN"/>
        </w:rPr>
        <w:t>50</w:t>
      </w:r>
      <w:r>
        <w:rPr>
          <w:rFonts w:hint="eastAsia" w:ascii="Times New Roman" w:hAnsi="Times New Roman"/>
          <w:highlight w:val="none"/>
          <w:lang w:val="en-US"/>
        </w:rPr>
        <w:t>个。</w:t>
      </w:r>
      <w:r>
        <w:rPr>
          <w:rFonts w:ascii="Times New Roman" w:hAnsi="Times New Roman"/>
          <w:highlight w:val="none"/>
          <w:lang w:val="en-US"/>
        </w:rPr>
        <w:t>新增亿元以上签约项目</w:t>
      </w:r>
      <w:r>
        <w:rPr>
          <w:rFonts w:hint="eastAsia" w:ascii="Times New Roman" w:hAnsi="Times New Roman"/>
          <w:highlight w:val="none"/>
          <w:lang w:val="en-US" w:eastAsia="zh-CN"/>
        </w:rPr>
        <w:t>64</w:t>
      </w:r>
      <w:r>
        <w:rPr>
          <w:rFonts w:hint="eastAsia" w:ascii="Times New Roman" w:hAnsi="Times New Roman"/>
          <w:highlight w:val="none"/>
          <w:lang w:val="en-US"/>
        </w:rPr>
        <w:t>个、总投资</w:t>
      </w:r>
      <w:r>
        <w:rPr>
          <w:rFonts w:hint="eastAsia" w:ascii="Times New Roman" w:hAnsi="Times New Roman"/>
          <w:highlight w:val="none"/>
          <w:lang w:val="en-US" w:eastAsia="zh-CN"/>
        </w:rPr>
        <w:t>399.7</w:t>
      </w:r>
      <w:r>
        <w:rPr>
          <w:rFonts w:hint="eastAsia" w:ascii="Times New Roman" w:hAnsi="Times New Roman"/>
          <w:highlight w:val="none"/>
          <w:lang w:val="en-US"/>
        </w:rPr>
        <w:t>亿元，其中</w:t>
      </w:r>
      <w:r>
        <w:rPr>
          <w:rFonts w:ascii="Times New Roman" w:hAnsi="Times New Roman"/>
          <w:highlight w:val="none"/>
          <w:lang w:val="en-US"/>
        </w:rPr>
        <w:t>50</w:t>
      </w:r>
      <w:r>
        <w:rPr>
          <w:rFonts w:hint="eastAsia" w:ascii="Times New Roman" w:hAnsi="Times New Roman"/>
          <w:highlight w:val="none"/>
          <w:lang w:val="en-US"/>
        </w:rPr>
        <w:t>亿元以上签约项目</w:t>
      </w:r>
      <w:r>
        <w:rPr>
          <w:rFonts w:ascii="Times New Roman" w:hAnsi="Times New Roman"/>
          <w:highlight w:val="none"/>
          <w:lang w:val="en-US"/>
        </w:rPr>
        <w:t>4</w:t>
      </w:r>
      <w:r>
        <w:rPr>
          <w:rFonts w:hint="eastAsia" w:ascii="Times New Roman" w:hAnsi="Times New Roman"/>
          <w:highlight w:val="none"/>
          <w:lang w:val="en-US"/>
        </w:rPr>
        <w:t>个、总投资</w:t>
      </w:r>
      <w:r>
        <w:rPr>
          <w:rFonts w:ascii="Times New Roman" w:hAnsi="Times New Roman"/>
          <w:highlight w:val="none"/>
          <w:lang w:val="en-US"/>
        </w:rPr>
        <w:t>201.6</w:t>
      </w:r>
      <w:r>
        <w:rPr>
          <w:rFonts w:hint="eastAsia" w:ascii="Times New Roman" w:hAnsi="Times New Roman"/>
          <w:highlight w:val="none"/>
          <w:lang w:val="en-US"/>
        </w:rPr>
        <w:t>亿元。</w:t>
      </w:r>
      <w:r>
        <w:rPr>
          <w:rFonts w:hint="eastAsia" w:ascii="Times New Roman" w:hAnsi="Times New Roman" w:eastAsia="方正楷体_GBK" w:cs="Times New Roman"/>
          <w:kern w:val="2"/>
          <w:highlight w:val="none"/>
          <w:lang w:val="en-US"/>
        </w:rPr>
        <w:t>对上争取成效明显</w:t>
      </w:r>
      <w:r>
        <w:rPr>
          <w:rFonts w:hint="eastAsia" w:ascii="Times New Roman" w:hAnsi="Times New Roman" w:cs="方正仿宋_GBK"/>
          <w:spacing w:val="6"/>
          <w:kern w:val="21"/>
          <w:highlight w:val="none"/>
          <w:lang w:val="en-US" w:bidi="ar-SA"/>
        </w:rPr>
        <w:t>。</w:t>
      </w:r>
      <w:r>
        <w:rPr>
          <w:rFonts w:hint="eastAsia" w:ascii="Times New Roman" w:hAnsi="Times New Roman" w:cs="Times New Roman"/>
          <w:szCs w:val="40"/>
          <w:highlight w:val="none"/>
        </w:rPr>
        <w:t>争取地方政府专项债发行额度32.</w:t>
      </w:r>
      <w:r>
        <w:rPr>
          <w:rFonts w:hint="eastAsia" w:ascii="Times New Roman" w:hAnsi="Times New Roman" w:cs="Times New Roman"/>
          <w:szCs w:val="40"/>
          <w:highlight w:val="none"/>
          <w:lang w:val="en-US" w:eastAsia="zh-CN"/>
        </w:rPr>
        <w:t>8</w:t>
      </w:r>
      <w:r>
        <w:rPr>
          <w:rFonts w:hint="eastAsia" w:ascii="Times New Roman" w:hAnsi="Times New Roman" w:cs="Times New Roman"/>
          <w:szCs w:val="40"/>
          <w:highlight w:val="none"/>
        </w:rPr>
        <w:t>亿元</w:t>
      </w:r>
      <w:r>
        <w:rPr>
          <w:rFonts w:hint="eastAsia" w:ascii="Times New Roman" w:hAnsi="Times New Roman" w:cs="Times New Roman"/>
          <w:szCs w:val="40"/>
          <w:highlight w:val="none"/>
          <w:lang w:eastAsia="zh-CN"/>
        </w:rPr>
        <w:t>、</w:t>
      </w:r>
      <w:r>
        <w:rPr>
          <w:rFonts w:hint="eastAsia" w:ascii="Times New Roman" w:hAnsi="Times New Roman" w:cs="Times New Roman"/>
          <w:szCs w:val="40"/>
          <w:highlight w:val="none"/>
        </w:rPr>
        <w:t>增发国债</w:t>
      </w:r>
      <w:r>
        <w:rPr>
          <w:rFonts w:hint="eastAsia" w:ascii="Times New Roman" w:hAnsi="Times New Roman" w:cs="Times New Roman"/>
          <w:szCs w:val="40"/>
          <w:highlight w:val="none"/>
          <w:lang w:val="en-US" w:eastAsia="zh-CN"/>
        </w:rPr>
        <w:t>资金</w:t>
      </w:r>
      <w:r>
        <w:rPr>
          <w:rFonts w:hint="eastAsia" w:ascii="Times New Roman" w:hAnsi="Times New Roman" w:cs="Times New Roman"/>
          <w:szCs w:val="40"/>
          <w:highlight w:val="none"/>
        </w:rPr>
        <w:t>1.</w:t>
      </w:r>
      <w:r>
        <w:rPr>
          <w:rFonts w:hint="eastAsia" w:ascii="Times New Roman" w:hAnsi="Times New Roman" w:cs="Times New Roman"/>
          <w:szCs w:val="40"/>
          <w:highlight w:val="none"/>
          <w:lang w:val="en-US" w:eastAsia="zh-CN"/>
        </w:rPr>
        <w:t>8</w:t>
      </w:r>
      <w:r>
        <w:rPr>
          <w:rFonts w:hint="eastAsia" w:ascii="Times New Roman" w:hAnsi="Times New Roman" w:cs="Times New Roman"/>
          <w:szCs w:val="40"/>
          <w:highlight w:val="none"/>
        </w:rPr>
        <w:t>亿元</w:t>
      </w:r>
      <w:r>
        <w:rPr>
          <w:rFonts w:hint="eastAsia" w:ascii="Times New Roman" w:hAnsi="Times New Roman" w:cs="Times New Roman"/>
          <w:szCs w:val="40"/>
          <w:highlight w:val="none"/>
          <w:lang w:eastAsia="zh-CN"/>
        </w:rPr>
        <w:t>、</w:t>
      </w:r>
      <w:r>
        <w:rPr>
          <w:rFonts w:hint="eastAsia" w:ascii="Times New Roman" w:hAnsi="Times New Roman" w:cs="Times New Roman"/>
          <w:szCs w:val="40"/>
          <w:highlight w:val="none"/>
        </w:rPr>
        <w:t>超长期国债</w:t>
      </w:r>
      <w:r>
        <w:rPr>
          <w:rFonts w:hint="eastAsia" w:ascii="Times New Roman" w:hAnsi="Times New Roman" w:cs="Times New Roman"/>
          <w:szCs w:val="40"/>
          <w:highlight w:val="none"/>
          <w:lang w:val="en-US" w:eastAsia="zh-CN"/>
        </w:rPr>
        <w:t>资金</w:t>
      </w:r>
      <w:r>
        <w:rPr>
          <w:rFonts w:hint="eastAsia" w:ascii="Times New Roman" w:hAnsi="Times New Roman" w:cs="Times New Roman"/>
          <w:szCs w:val="40"/>
          <w:highlight w:val="none"/>
        </w:rPr>
        <w:t>5.8亿元</w:t>
      </w:r>
      <w:r>
        <w:rPr>
          <w:rFonts w:hint="eastAsia" w:ascii="Times New Roman" w:hAnsi="Times New Roman" w:eastAsia="方正楷体_GBK" w:cs="Times New Roman"/>
          <w:kern w:val="2"/>
          <w:sz w:val="28"/>
          <w:szCs w:val="28"/>
          <w:highlight w:val="none"/>
          <w:lang w:val="en-US"/>
        </w:rPr>
        <w:t>（无锡第1）</w:t>
      </w:r>
      <w:r>
        <w:rPr>
          <w:rFonts w:hint="eastAsia" w:ascii="Times New Roman" w:hAnsi="Times New Roman" w:eastAsia="方正楷体_GBK" w:cs="Times New Roman"/>
          <w:szCs w:val="40"/>
          <w:highlight w:val="none"/>
          <w:lang w:eastAsia="zh-CN"/>
        </w:rPr>
        <w:t>、</w:t>
      </w:r>
      <w:r>
        <w:rPr>
          <w:rFonts w:hint="eastAsia" w:ascii="Times New Roman" w:hAnsi="Times New Roman" w:cs="Times New Roman"/>
          <w:szCs w:val="40"/>
          <w:highlight w:val="none"/>
        </w:rPr>
        <w:t>中央预算内投资5.</w:t>
      </w:r>
      <w:r>
        <w:rPr>
          <w:rFonts w:hint="eastAsia" w:ascii="Times New Roman" w:hAnsi="Times New Roman" w:cs="Times New Roman"/>
          <w:szCs w:val="40"/>
          <w:highlight w:val="none"/>
          <w:lang w:val="en-US" w:eastAsia="zh-CN"/>
        </w:rPr>
        <w:t>3</w:t>
      </w:r>
      <w:r>
        <w:rPr>
          <w:rFonts w:hint="eastAsia" w:ascii="Times New Roman" w:hAnsi="Times New Roman" w:cs="Times New Roman"/>
          <w:szCs w:val="40"/>
          <w:highlight w:val="none"/>
        </w:rPr>
        <w:t>亿元。</w:t>
      </w:r>
    </w:p>
    <w:p w14:paraId="391C7B01">
      <w:pPr>
        <w:spacing w:line="580" w:lineRule="exact"/>
        <w:ind w:firstLine="604" w:firstLineChars="200"/>
        <w:rPr>
          <w:rFonts w:ascii="Times New Roman" w:cs="方正仿宋_GBK"/>
          <w:highlight w:val="none"/>
        </w:rPr>
      </w:pPr>
      <w:r>
        <w:rPr>
          <w:rFonts w:hint="eastAsia" w:ascii="Times New Roman" w:eastAsia="方正楷体_GBK"/>
          <w:b/>
          <w:kern w:val="2"/>
          <w:highlight w:val="none"/>
        </w:rPr>
        <w:t>（二）</w:t>
      </w:r>
      <w:r>
        <w:rPr>
          <w:rFonts w:hint="eastAsia" w:ascii="Times New Roman" w:eastAsia="方正楷体_GBK"/>
          <w:b/>
          <w:spacing w:val="2"/>
          <w:highlight w:val="none"/>
        </w:rPr>
        <w:t>创新动能不断增强</w:t>
      </w:r>
      <w:r>
        <w:rPr>
          <w:rFonts w:hint="eastAsia" w:ascii="Times New Roman" w:eastAsia="方正楷体_GBK"/>
          <w:b/>
          <w:kern w:val="2"/>
          <w:highlight w:val="none"/>
        </w:rPr>
        <w:t>。</w:t>
      </w:r>
      <w:r>
        <w:rPr>
          <w:rFonts w:hint="eastAsia" w:ascii="Times New Roman" w:eastAsia="方正楷体_GB2312" w:cs="方正楷体_GB2312"/>
          <w:highlight w:val="none"/>
        </w:rPr>
        <w:t>实数融合纵深拓展。</w:t>
      </w:r>
      <w:r>
        <w:rPr>
          <w:rFonts w:hint="eastAsia" w:ascii="方正仿宋_GBK" w:eastAsia="方正仿宋_GBK" w:hAnsiTheme="minorHAnsi" w:cstheme="minorBidi"/>
          <w:kern w:val="32"/>
          <w:sz w:val="32"/>
          <w:szCs w:val="32"/>
          <w:highlight w:val="none"/>
          <w:lang w:val="en-US" w:eastAsia="zh-CN" w:bidi="ar-SA"/>
        </w:rPr>
        <w:t>举办智改数转网联活动63场、服务企业超2000家次</w:t>
      </w:r>
      <w:r>
        <w:rPr>
          <w:rFonts w:hint="eastAsia" w:ascii="Times New Roman"/>
          <w:highlight w:val="none"/>
          <w:lang w:eastAsia="zh-CN"/>
        </w:rPr>
        <w:t>。</w:t>
      </w:r>
      <w:r>
        <w:rPr>
          <w:rFonts w:hint="eastAsia" w:ascii="Times New Roman" w:hAnsi="Times New Roman" w:eastAsia="方正仿宋_GBK" w:cs="方正仿宋_GBK"/>
          <w:color w:val="000000" w:themeColor="text1"/>
          <w:kern w:val="2"/>
          <w:szCs w:val="24"/>
          <w:highlight w:val="none"/>
          <w:u w:val="none"/>
        </w:rPr>
        <w:t>完成规上工业企业数字化诊断全覆盖，新增省级以上智能标杆189个，海澜之家获评国家级工业互联网试点示范</w:t>
      </w:r>
      <w:r>
        <w:rPr>
          <w:rFonts w:hint="eastAsia" w:ascii="Times New Roman" w:hAnsi="Times New Roman" w:eastAsia="方正仿宋_GBK" w:cs="方正仿宋_GBK"/>
          <w:color w:val="000000" w:themeColor="text1"/>
          <w:kern w:val="2"/>
          <w:szCs w:val="24"/>
          <w:highlight w:val="none"/>
          <w:u w:val="none"/>
          <w:lang w:eastAsia="zh-CN"/>
        </w:rPr>
        <w:t>，</w:t>
      </w:r>
      <w:r>
        <w:rPr>
          <w:rFonts w:hint="eastAsia" w:ascii="Times New Roman" w:hAnsi="Times New Roman" w:eastAsia="方正仿宋_GBK" w:cs="方正仿宋_GBK"/>
          <w:strike w:val="0"/>
          <w:dstrike w:val="0"/>
          <w:color w:val="000000" w:themeColor="text1"/>
          <w:kern w:val="2"/>
          <w:szCs w:val="24"/>
          <w:highlight w:val="none"/>
          <w:u w:val="none"/>
          <w:lang w:val="en-US" w:eastAsia="zh-CN"/>
        </w:rPr>
        <w:t>数字经济核心产业预计实现营收590亿元</w:t>
      </w:r>
      <w:r>
        <w:rPr>
          <w:rFonts w:hint="eastAsia" w:ascii="Times New Roman"/>
          <w:highlight w:val="none"/>
        </w:rPr>
        <w:t>。</w:t>
      </w:r>
      <w:r>
        <w:rPr>
          <w:rFonts w:hint="eastAsia" w:ascii="Times New Roman" w:eastAsia="方正楷体_GBK"/>
          <w:kern w:val="2"/>
          <w:highlight w:val="none"/>
        </w:rPr>
        <w:t>载体平台效能提升。</w:t>
      </w:r>
      <w:r>
        <w:rPr>
          <w:rFonts w:ascii="Times New Roman"/>
          <w:highlight w:val="none"/>
        </w:rPr>
        <w:t>清华大学无锡应用技术研究院精密光电研发中心签约落地，清华大学深空技术中心揭牌成立。</w:t>
      </w:r>
      <w:r>
        <w:rPr>
          <w:rFonts w:hint="eastAsia" w:ascii="Times New Roman" w:hAnsi="Times New Roman" w:eastAsia="方正仿宋_GBK" w:cs="方正仿宋_GBK"/>
          <w:color w:val="000000" w:themeColor="text1"/>
          <w:spacing w:val="0"/>
          <w:kern w:val="2"/>
          <w:sz w:val="32"/>
          <w:highlight w:val="none"/>
          <w:u w:val="none"/>
        </w:rPr>
        <w:t>新建成投用科创载体85.</w:t>
      </w:r>
      <w:r>
        <w:rPr>
          <w:rFonts w:hint="eastAsia" w:ascii="Times New Roman" w:cs="方正仿宋_GBK"/>
          <w:color w:val="000000" w:themeColor="text1"/>
          <w:spacing w:val="0"/>
          <w:kern w:val="2"/>
          <w:sz w:val="32"/>
          <w:highlight w:val="none"/>
          <w:u w:val="none"/>
          <w:lang w:val="en-US" w:eastAsia="zh-CN"/>
        </w:rPr>
        <w:t>3</w:t>
      </w:r>
      <w:r>
        <w:rPr>
          <w:rFonts w:hint="eastAsia" w:ascii="Times New Roman" w:hAnsi="Times New Roman" w:eastAsia="方正仿宋_GBK" w:cs="方正仿宋_GBK"/>
          <w:color w:val="000000" w:themeColor="text1"/>
          <w:spacing w:val="0"/>
          <w:kern w:val="2"/>
          <w:sz w:val="32"/>
          <w:highlight w:val="none"/>
          <w:u w:val="none"/>
        </w:rPr>
        <w:t>万平方米，新增无锡市级以上科创平台110家</w:t>
      </w:r>
      <w:r>
        <w:rPr>
          <w:rFonts w:hint="eastAsia" w:ascii="Times New Roman" w:cs="方正仿宋_GBK"/>
          <w:color w:val="000000" w:themeColor="text1"/>
          <w:spacing w:val="0"/>
          <w:kern w:val="2"/>
          <w:sz w:val="32"/>
          <w:highlight w:val="none"/>
          <w:u w:val="none"/>
          <w:lang w:eastAsia="zh-CN"/>
        </w:rPr>
        <w:t>。</w:t>
      </w:r>
      <w:r>
        <w:rPr>
          <w:rFonts w:hint="eastAsia" w:ascii="Times New Roman" w:eastAsia="方正楷体_GBK"/>
          <w:kern w:val="2"/>
          <w:highlight w:val="none"/>
        </w:rPr>
        <w:t>创新主体活力激发。</w:t>
      </w:r>
      <w:r>
        <w:rPr>
          <w:rFonts w:hint="eastAsia" w:ascii="Times New Roman" w:hAnsi="Times New Roman" w:eastAsia="方正仿宋_GBK" w:cs="方正仿宋_GBK"/>
          <w:color w:val="000000" w:themeColor="text1"/>
          <w:kern w:val="2"/>
          <w:highlight w:val="none"/>
          <w:u w:val="none"/>
          <w:lang w:val="en-US" w:eastAsia="zh-CN"/>
        </w:rPr>
        <w:t>有效高新技术企业达1143家，申报</w:t>
      </w:r>
      <w:r>
        <w:rPr>
          <w:rFonts w:hint="eastAsia" w:ascii="Times New Roman" w:hAnsi="Times New Roman" w:eastAsia="方正仿宋_GBK" w:cs="方正仿宋_GBK"/>
          <w:color w:val="000000" w:themeColor="text1"/>
          <w:kern w:val="2"/>
          <w:highlight w:val="none"/>
          <w:u w:val="none"/>
        </w:rPr>
        <w:t>国家科技型中小企业</w:t>
      </w:r>
      <w:r>
        <w:rPr>
          <w:rFonts w:hint="eastAsia" w:ascii="Times New Roman" w:hAnsi="Times New Roman" w:eastAsia="方正仿宋_GBK" w:cs="方正仿宋_GBK"/>
          <w:color w:val="000000" w:themeColor="text1"/>
          <w:kern w:val="2"/>
          <w:highlight w:val="none"/>
          <w:u w:val="none"/>
          <w:lang w:val="en-US" w:eastAsia="zh-CN"/>
        </w:rPr>
        <w:t>2701</w:t>
      </w:r>
      <w:r>
        <w:rPr>
          <w:rFonts w:hint="eastAsia" w:ascii="Times New Roman" w:hAnsi="Times New Roman" w:eastAsia="方正仿宋_GBK" w:cs="方正仿宋_GBK"/>
          <w:color w:val="000000" w:themeColor="text1"/>
          <w:kern w:val="2"/>
          <w:highlight w:val="none"/>
          <w:u w:val="none"/>
        </w:rPr>
        <w:t>家</w:t>
      </w:r>
      <w:r>
        <w:rPr>
          <w:rFonts w:hint="eastAsia" w:ascii="Times New Roman"/>
          <w:highlight w:val="none"/>
        </w:rPr>
        <w:t>，新增</w:t>
      </w:r>
      <w:r>
        <w:rPr>
          <w:rFonts w:ascii="Times New Roman"/>
          <w:highlight w:val="none"/>
        </w:rPr>
        <w:t>省独角兽企业2家</w:t>
      </w:r>
      <w:r>
        <w:rPr>
          <w:rFonts w:hint="eastAsia" w:ascii="Times New Roman"/>
          <w:highlight w:val="none"/>
        </w:rPr>
        <w:t>、</w:t>
      </w:r>
      <w:r>
        <w:rPr>
          <w:rFonts w:ascii="Times New Roman"/>
          <w:highlight w:val="none"/>
        </w:rPr>
        <w:t>潜在独角兽企业4家</w:t>
      </w:r>
      <w:r>
        <w:rPr>
          <w:rFonts w:hint="eastAsia" w:ascii="Times New Roman"/>
          <w:highlight w:val="none"/>
        </w:rPr>
        <w:t>、</w:t>
      </w:r>
      <w:r>
        <w:rPr>
          <w:rFonts w:ascii="Times New Roman"/>
          <w:highlight w:val="none"/>
        </w:rPr>
        <w:t>瞪羚企业21家</w:t>
      </w:r>
      <w:r>
        <w:rPr>
          <w:rFonts w:hint="eastAsia" w:ascii="Times New Roman"/>
          <w:highlight w:val="none"/>
        </w:rPr>
        <w:t>。开展</w:t>
      </w:r>
      <w:r>
        <w:rPr>
          <w:rFonts w:ascii="Times New Roman"/>
          <w:highlight w:val="none"/>
        </w:rPr>
        <w:t>产学研对接活动</w:t>
      </w:r>
      <w:r>
        <w:rPr>
          <w:rFonts w:hint="eastAsia" w:ascii="Times New Roman"/>
          <w:highlight w:val="none"/>
        </w:rPr>
        <w:t>近30</w:t>
      </w:r>
      <w:r>
        <w:rPr>
          <w:rFonts w:ascii="Times New Roman"/>
          <w:highlight w:val="none"/>
        </w:rPr>
        <w:t>场次</w:t>
      </w:r>
      <w:r>
        <w:rPr>
          <w:rFonts w:hint="eastAsia" w:ascii="Times New Roman"/>
          <w:highlight w:val="none"/>
        </w:rPr>
        <w:t>，</w:t>
      </w:r>
      <w:r>
        <w:rPr>
          <w:rFonts w:ascii="Times New Roman"/>
          <w:highlight w:val="none"/>
        </w:rPr>
        <w:t>新增产学研项目</w:t>
      </w:r>
      <w:r>
        <w:rPr>
          <w:rFonts w:hint="eastAsia" w:ascii="Times New Roman"/>
          <w:highlight w:val="none"/>
        </w:rPr>
        <w:t>102</w:t>
      </w:r>
      <w:r>
        <w:rPr>
          <w:rFonts w:ascii="Times New Roman"/>
          <w:highlight w:val="none"/>
        </w:rPr>
        <w:t>项。</w:t>
      </w:r>
      <w:r>
        <w:rPr>
          <w:rFonts w:hint="eastAsia" w:ascii="Times New Roman" w:hAnsi="Times New Roman" w:eastAsia="方正仿宋_GBK" w:cs="方正仿宋_GBK"/>
          <w:color w:val="000000" w:themeColor="text1"/>
          <w:kern w:val="2"/>
          <w:highlight w:val="none"/>
          <w:u w:val="none"/>
        </w:rPr>
        <w:t>制（修）订国际、国家、行业标准</w:t>
      </w:r>
      <w:r>
        <w:rPr>
          <w:rFonts w:hint="eastAsia" w:ascii="Times New Roman" w:hAnsi="Times New Roman" w:eastAsia="方正仿宋_GBK" w:cs="方正仿宋_GBK"/>
          <w:color w:val="000000" w:themeColor="text1"/>
          <w:kern w:val="2"/>
          <w:highlight w:val="none"/>
          <w:u w:val="none"/>
          <w:lang w:val="en-US" w:eastAsia="zh-CN"/>
        </w:rPr>
        <w:t>149</w:t>
      </w:r>
      <w:r>
        <w:rPr>
          <w:rFonts w:hint="eastAsia" w:ascii="Times New Roman" w:hAnsi="Times New Roman" w:eastAsia="方正仿宋_GBK" w:cs="方正仿宋_GBK"/>
          <w:color w:val="000000" w:themeColor="text1"/>
          <w:kern w:val="2"/>
          <w:highlight w:val="none"/>
          <w:u w:val="none"/>
        </w:rPr>
        <w:t>项</w:t>
      </w:r>
      <w:r>
        <w:rPr>
          <w:rFonts w:hint="eastAsia" w:ascii="Times New Roman"/>
          <w:highlight w:val="none"/>
        </w:rPr>
        <w:t>。</w:t>
      </w:r>
      <w:r>
        <w:rPr>
          <w:rFonts w:hint="eastAsia" w:ascii="Times New Roman" w:eastAsia="方正楷体_GBK"/>
          <w:highlight w:val="none"/>
        </w:rPr>
        <w:t>创新人才加快集聚。</w:t>
      </w:r>
      <w:r>
        <w:rPr>
          <w:rFonts w:ascii="Times New Roman"/>
          <w:highlight w:val="none"/>
        </w:rPr>
        <w:t>举办</w:t>
      </w:r>
      <w:r>
        <w:rPr>
          <w:rFonts w:hint="eastAsia" w:ascii="Times New Roman"/>
          <w:highlight w:val="none"/>
        </w:rPr>
        <w:t>“</w:t>
      </w:r>
      <w:r>
        <w:rPr>
          <w:rFonts w:ascii="Times New Roman"/>
          <w:highlight w:val="none"/>
        </w:rPr>
        <w:t>霞客杯</w:t>
      </w:r>
      <w:r>
        <w:rPr>
          <w:rFonts w:hint="eastAsia" w:ascii="Times New Roman"/>
          <w:highlight w:val="none"/>
        </w:rPr>
        <w:t>”</w:t>
      </w:r>
      <w:r>
        <w:rPr>
          <w:rFonts w:ascii="Times New Roman"/>
          <w:highlight w:val="none"/>
        </w:rPr>
        <w:t>中国江阴第七届创新创业大赛，征集海内</w:t>
      </w:r>
      <w:r>
        <w:rPr>
          <w:rFonts w:ascii="Times New Roman"/>
          <w:highlight w:val="none"/>
          <w:u w:val="none"/>
        </w:rPr>
        <w:t>外科技人才项目超1000个</w:t>
      </w:r>
      <w:r>
        <w:rPr>
          <w:rFonts w:hint="eastAsia" w:ascii="Times New Roman"/>
          <w:highlight w:val="none"/>
          <w:u w:val="none"/>
        </w:rPr>
        <w:t>，落地项目54个。新增高层次人才13</w:t>
      </w:r>
      <w:r>
        <w:rPr>
          <w:rFonts w:hint="eastAsia" w:ascii="Times New Roman"/>
          <w:highlight w:val="none"/>
          <w:u w:val="none"/>
          <w:lang w:val="en-US" w:eastAsia="zh-CN"/>
        </w:rPr>
        <w:t>5</w:t>
      </w:r>
      <w:r>
        <w:rPr>
          <w:rFonts w:hint="eastAsia" w:ascii="Times New Roman"/>
          <w:highlight w:val="none"/>
          <w:u w:val="none"/>
        </w:rPr>
        <w:t>0人、高</w:t>
      </w:r>
      <w:r>
        <w:rPr>
          <w:rFonts w:hint="eastAsia" w:ascii="Times New Roman"/>
          <w:highlight w:val="none"/>
          <w:u w:val="none"/>
          <w:lang w:eastAsia="zh-CN"/>
        </w:rPr>
        <w:t>技能人才5</w:t>
      </w:r>
      <w:r>
        <w:rPr>
          <w:rFonts w:hint="eastAsia" w:ascii="Times New Roman"/>
          <w:highlight w:val="none"/>
          <w:u w:val="none"/>
          <w:lang w:val="en-US" w:eastAsia="zh-CN"/>
        </w:rPr>
        <w:t>322</w:t>
      </w:r>
      <w:r>
        <w:rPr>
          <w:rFonts w:hint="eastAsia" w:ascii="Times New Roman"/>
          <w:highlight w:val="none"/>
          <w:u w:val="none"/>
          <w:lang w:eastAsia="zh-CN"/>
        </w:rPr>
        <w:t>人</w:t>
      </w:r>
      <w:r>
        <w:rPr>
          <w:rFonts w:hint="eastAsia" w:ascii="Times New Roman"/>
          <w:kern w:val="2"/>
          <w:highlight w:val="none"/>
          <w:u w:val="none"/>
        </w:rPr>
        <w:t>。</w:t>
      </w:r>
      <w:r>
        <w:rPr>
          <w:rFonts w:hint="eastAsia" w:ascii="Times New Roman" w:eastAsia="方正楷体_GBK"/>
          <w:kern w:val="2"/>
          <w:highlight w:val="none"/>
        </w:rPr>
        <w:t>科创金融保障有力。</w:t>
      </w:r>
      <w:r>
        <w:rPr>
          <w:rFonts w:hint="eastAsia" w:ascii="Times New Roman" w:cs="方正仿宋_GBK"/>
          <w:highlight w:val="none"/>
        </w:rPr>
        <w:t>筹划组建空天经济、未来能源等未来产业创投基金，</w:t>
      </w:r>
      <w:r>
        <w:rPr>
          <w:rFonts w:hint="eastAsia" w:ascii="Times New Roman"/>
          <w:highlight w:val="none"/>
        </w:rPr>
        <w:t>开发“人才科创贷”等科技金融产品，发放科技贷款超6亿元，开展“高企融资服务直通车”活动，新增高新技术企业授信16.8亿元。</w:t>
      </w:r>
    </w:p>
    <w:p w14:paraId="07BCED2D">
      <w:pPr>
        <w:spacing w:line="580" w:lineRule="exact"/>
        <w:ind w:firstLine="612" w:firstLineChars="200"/>
        <w:textAlignment w:val="baseline"/>
        <w:rPr>
          <w:rFonts w:ascii="Times New Roman" w:eastAsia="方正楷体_GBK"/>
          <w:spacing w:val="2"/>
          <w:kern w:val="2"/>
          <w:highlight w:val="none"/>
        </w:rPr>
      </w:pPr>
      <w:r>
        <w:rPr>
          <w:rFonts w:hint="eastAsia" w:ascii="Times New Roman" w:eastAsia="方正楷体_GBK"/>
          <w:b/>
          <w:spacing w:val="2"/>
          <w:highlight w:val="none"/>
        </w:rPr>
        <w:t>（三）改革开放持续深入。</w:t>
      </w:r>
      <w:r>
        <w:rPr>
          <w:rFonts w:hint="eastAsia" w:ascii="Times New Roman" w:eastAsia="方正楷体_GBK"/>
          <w:spacing w:val="-4"/>
          <w:kern w:val="2"/>
          <w:highlight w:val="none"/>
        </w:rPr>
        <w:t>重点战略稳步实施。</w:t>
      </w:r>
      <w:r>
        <w:rPr>
          <w:rFonts w:hint="eastAsia" w:ascii="Times New Roman" w:cs="方正仿宋_GBK"/>
          <w:highlight w:val="none"/>
        </w:rPr>
        <w:t>“南征”上，</w:t>
      </w:r>
      <w:r>
        <w:rPr>
          <w:rFonts w:ascii="Times New Roman" w:cs="方正仿宋_GBK"/>
          <w:highlight w:val="none"/>
        </w:rPr>
        <w:t>江南大学（江阴校区）</w:t>
      </w:r>
      <w:r>
        <w:rPr>
          <w:rFonts w:hint="eastAsia" w:ascii="Times New Roman" w:cs="方正仿宋_GBK"/>
          <w:highlight w:val="none"/>
          <w:lang w:val="en-US" w:eastAsia="zh-CN"/>
        </w:rPr>
        <w:t>正式</w:t>
      </w:r>
      <w:r>
        <w:rPr>
          <w:rFonts w:ascii="Times New Roman" w:cs="方正仿宋_GBK"/>
          <w:highlight w:val="none"/>
        </w:rPr>
        <w:t>开学</w:t>
      </w:r>
      <w:r>
        <w:rPr>
          <w:rFonts w:hint="eastAsia" w:ascii="Times New Roman" w:cs="方正仿宋_GBK"/>
          <w:highlight w:val="none"/>
        </w:rPr>
        <w:t>，</w:t>
      </w:r>
      <w:r>
        <w:rPr>
          <w:rFonts w:ascii="Times New Roman" w:cs="方正仿宋_GBK"/>
          <w:highlight w:val="none"/>
        </w:rPr>
        <w:t>旌阳湖科创园一期</w:t>
      </w:r>
      <w:r>
        <w:rPr>
          <w:rFonts w:hint="eastAsia" w:ascii="Times New Roman" w:cs="方正仿宋_GBK"/>
          <w:highlight w:val="none"/>
        </w:rPr>
        <w:t>、宽视场巡天望远镜（MUST）</w:t>
      </w:r>
      <w:r>
        <w:rPr>
          <w:rFonts w:ascii="Times New Roman" w:cs="方正仿宋_GBK"/>
          <w:highlight w:val="none"/>
        </w:rPr>
        <w:t>项目主体结构封顶</w:t>
      </w:r>
      <w:r>
        <w:rPr>
          <w:rFonts w:hint="eastAsia" w:ascii="Times New Roman" w:cs="方正仿宋_GBK"/>
          <w:highlight w:val="none"/>
        </w:rPr>
        <w:t>。“北战”上，</w:t>
      </w:r>
      <w:r>
        <w:rPr>
          <w:rFonts w:hint="eastAsia" w:ascii="Times New Roman"/>
          <w:color w:val="000000"/>
          <w:kern w:val="21"/>
          <w:highlight w:val="none"/>
        </w:rPr>
        <w:t>新开通外贸航线3条、内贸航线2条。启运港退税政策成功落地。港口集团5号码头、通用码头完成改扩建。江阴港预计完成货物吞吐量3.8亿吨，完成集装箱运量85万标箱、增长11.6%。“工改”上，</w:t>
      </w:r>
      <w:r>
        <w:rPr>
          <w:rFonts w:hint="eastAsia" w:ascii="Times New Roman" w:hAnsi="Times New Roman" w:eastAsia="方正仿宋_GBK" w:cs="方正仿宋_GBK"/>
          <w:color w:val="000000" w:themeColor="text1"/>
          <w:kern w:val="2"/>
          <w:highlight w:val="none"/>
          <w:u w:val="none"/>
          <w:lang w:val="en-US" w:eastAsia="zh-CN"/>
        </w:rPr>
        <w:t>腾退盘活整治产业用地</w:t>
      </w:r>
      <w:r>
        <w:rPr>
          <w:rFonts w:hint="eastAsia" w:ascii="Times New Roman" w:hAnsi="Times New Roman" w:cs="方正仿宋_GBK"/>
          <w:color w:val="000000" w:themeColor="text1"/>
          <w:kern w:val="2"/>
          <w:highlight w:val="none"/>
          <w:u w:val="none"/>
          <w:lang w:val="en-US" w:eastAsia="zh-CN"/>
        </w:rPr>
        <w:t>7497</w:t>
      </w:r>
      <w:r>
        <w:rPr>
          <w:rFonts w:hint="eastAsia" w:ascii="Times New Roman" w:hAnsi="Times New Roman" w:eastAsia="方正仿宋_GBK" w:cs="方正仿宋_GBK"/>
          <w:color w:val="000000" w:themeColor="text1"/>
          <w:kern w:val="2"/>
          <w:highlight w:val="none"/>
          <w:u w:val="none"/>
          <w:lang w:val="en-US" w:eastAsia="zh-CN"/>
        </w:rPr>
        <w:t>亩，新增无锡市特色产业园区4个</w:t>
      </w:r>
      <w:r>
        <w:rPr>
          <w:rFonts w:hint="eastAsia" w:ascii="Times New Roman"/>
          <w:color w:val="000000"/>
          <w:kern w:val="21"/>
          <w:highlight w:val="none"/>
        </w:rPr>
        <w:t>。</w:t>
      </w:r>
      <w:r>
        <w:rPr>
          <w:rFonts w:hint="eastAsia" w:ascii="Times New Roman" w:eastAsia="方正楷体_GBK"/>
          <w:spacing w:val="-4"/>
          <w:kern w:val="2"/>
          <w:highlight w:val="none"/>
        </w:rPr>
        <w:t>功能区建设纵深推进。</w:t>
      </w:r>
      <w:r>
        <w:rPr>
          <w:rFonts w:hint="eastAsia" w:ascii="Times New Roman" w:cs="方正仿宋_GBK"/>
          <w:highlight w:val="none"/>
        </w:rPr>
        <w:t>“1+4+N”方案体系顺利落地，城东街道实体化运行，临港经开区体制机制优化顺利推进，澄东南智造区协同发展工作机制成功组建，国有资产整合加速推进，“8+4+N”国有企业布局加快构建。</w:t>
      </w:r>
      <w:r>
        <w:rPr>
          <w:rFonts w:hint="eastAsia" w:ascii="Times New Roman" w:eastAsia="方正楷体_GBK" w:cs="方正楷体_GBK"/>
          <w:szCs w:val="40"/>
          <w:highlight w:val="none"/>
        </w:rPr>
        <w:t>区域协同走深走实。</w:t>
      </w:r>
      <w:r>
        <w:rPr>
          <w:rFonts w:hint="eastAsia" w:ascii="Times New Roman"/>
          <w:szCs w:val="40"/>
          <w:highlight w:val="none"/>
        </w:rPr>
        <w:t>举办第三次“澄锡惠”联动发展大会，三地科学城签署联动发展战略合作协议；与常州新北、天宁、经开在党建教育、基础设施、文旅融合等方面加强互动交流；对接粤港澳大湾区，强化长三角—粤港澳（无锡）科创产业融合发展区建设；推动跨江融合新一轮合作协议进一步落实。</w:t>
      </w:r>
      <w:r>
        <w:rPr>
          <w:rFonts w:hint="eastAsia" w:ascii="Times New Roman" w:eastAsia="方正楷体_GBK" w:cs="方正楷体_GBK"/>
          <w:szCs w:val="40"/>
          <w:highlight w:val="none"/>
        </w:rPr>
        <w:t>营商环境持续优化。</w:t>
      </w:r>
      <w:r>
        <w:rPr>
          <w:rFonts w:hint="eastAsia" w:ascii="Times New Roman" w:hAnsi="Times New Roman" w:eastAsia="方正仿宋_GBK" w:cs="方正仿宋_GBK"/>
          <w:color w:val="000000" w:themeColor="text1"/>
          <w:kern w:val="2"/>
          <w:highlight w:val="none"/>
          <w:u w:val="none"/>
          <w:lang w:val="en-US" w:eastAsia="zh-CN"/>
        </w:rPr>
        <w:t>26项营商环境改革重点任务扎实开展</w:t>
      </w:r>
      <w:r>
        <w:rPr>
          <w:rFonts w:hint="eastAsia" w:ascii="Times New Roman" w:hAnsi="Times New Roman" w:eastAsia="方正仿宋_GBK" w:cs="方正仿宋_GBK"/>
          <w:color w:val="000000" w:themeColor="text1"/>
          <w:kern w:val="2"/>
          <w:szCs w:val="24"/>
          <w:highlight w:val="none"/>
          <w:u w:val="none"/>
          <w:lang w:val="en-US" w:eastAsia="zh-CN"/>
        </w:rPr>
        <w:t>，市级综合窗口改革实现15个部门248个事项“一窗办理”</w:t>
      </w:r>
      <w:r>
        <w:rPr>
          <w:rFonts w:hint="eastAsia" w:ascii="Times New Roman" w:cs="仿宋"/>
          <w:highlight w:val="none"/>
        </w:rPr>
        <w:t>。</w:t>
      </w:r>
      <w:r>
        <w:rPr>
          <w:rFonts w:hint="eastAsia" w:ascii="方正仿宋_GBK" w:hAnsi="方正仿宋_GBK" w:eastAsia="方正仿宋_GBK" w:cs="方正仿宋_GBK"/>
          <w:b w:val="0"/>
          <w:bCs w:val="0"/>
          <w:spacing w:val="2"/>
          <w:sz w:val="32"/>
          <w:szCs w:val="32"/>
          <w:highlight w:val="none"/>
          <w:lang w:eastAsia="zh-CN"/>
        </w:rPr>
        <w:t>深化“三提三即”改革，</w:t>
      </w:r>
      <w:r>
        <w:rPr>
          <w:rFonts w:hint="eastAsia" w:ascii="方正仿宋_GBK" w:hAnsi="方正仿宋_GBK" w:eastAsia="方正仿宋_GBK" w:cs="方正仿宋_GBK"/>
          <w:b w:val="0"/>
          <w:bCs w:val="0"/>
          <w:spacing w:val="2"/>
          <w:sz w:val="32"/>
          <w:szCs w:val="32"/>
          <w:highlight w:val="none"/>
          <w:lang w:val="en-US" w:eastAsia="zh-CN"/>
        </w:rPr>
        <w:t>10</w:t>
      </w:r>
      <w:r>
        <w:rPr>
          <w:rFonts w:hint="eastAsia" w:ascii="方正仿宋_GBK" w:hAnsi="方正仿宋_GBK" w:eastAsia="方正仿宋_GBK" w:cs="方正仿宋_GBK"/>
          <w:b w:val="0"/>
          <w:bCs w:val="0"/>
          <w:spacing w:val="2"/>
          <w:sz w:val="32"/>
          <w:szCs w:val="32"/>
          <w:highlight w:val="none"/>
          <w:lang w:eastAsia="zh-CN"/>
        </w:rPr>
        <w:t>个项目实现“拿地即开工”，2个项目实现“竣工即发证”。</w:t>
      </w:r>
      <w:r>
        <w:rPr>
          <w:rFonts w:hint="eastAsia" w:ascii="Times New Roman" w:eastAsia="方正楷体_GBK" w:cs="方正楷体_GBK"/>
          <w:szCs w:val="40"/>
          <w:highlight w:val="none"/>
        </w:rPr>
        <w:t>开放合作步伐加快。</w:t>
      </w:r>
      <w:r>
        <w:rPr>
          <w:rFonts w:hint="eastAsia" w:ascii="Times New Roman" w:cs="Courier New"/>
          <w:szCs w:val="21"/>
          <w:highlight w:val="none"/>
        </w:rPr>
        <w:t>预计完成进出口总额</w:t>
      </w:r>
      <w:r>
        <w:rPr>
          <w:rFonts w:ascii="Times New Roman" w:cs="Courier New"/>
          <w:szCs w:val="21"/>
          <w:highlight w:val="none"/>
        </w:rPr>
        <w:t>1700</w:t>
      </w:r>
      <w:r>
        <w:rPr>
          <w:rFonts w:hint="eastAsia" w:ascii="Times New Roman" w:cs="Courier New"/>
          <w:szCs w:val="21"/>
          <w:highlight w:val="none"/>
        </w:rPr>
        <w:t>亿元，其中出口</w:t>
      </w:r>
      <w:r>
        <w:rPr>
          <w:rFonts w:ascii="Times New Roman" w:cs="Courier New"/>
          <w:szCs w:val="21"/>
          <w:highlight w:val="none"/>
        </w:rPr>
        <w:t>1150</w:t>
      </w:r>
      <w:r>
        <w:rPr>
          <w:rFonts w:hint="eastAsia" w:ascii="Times New Roman" w:cs="Courier New"/>
          <w:szCs w:val="21"/>
          <w:highlight w:val="none"/>
        </w:rPr>
        <w:t>亿元，完成实际使用外资11.7亿美元</w:t>
      </w:r>
      <w:r>
        <w:rPr>
          <w:rFonts w:hint="eastAsia" w:ascii="Times New Roman"/>
          <w:kern w:val="2"/>
          <w:highlight w:val="none"/>
        </w:rPr>
        <w:t>，</w:t>
      </w:r>
      <w:r>
        <w:rPr>
          <w:rFonts w:hint="eastAsia" w:ascii="Times New Roman"/>
          <w:spacing w:val="2"/>
          <w:kern w:val="2"/>
          <w:highlight w:val="none"/>
        </w:rPr>
        <w:t>均创历史新高。</w:t>
      </w:r>
      <w:r>
        <w:rPr>
          <w:rFonts w:hint="eastAsia" w:ascii="Times New Roman" w:cs="方正仿宋_GBK"/>
          <w:highlight w:val="none"/>
        </w:rPr>
        <w:t>启动长三角云蝠跨境贸易综合服务平台，入驻企业30余家、出口额4500万美元。</w:t>
      </w:r>
      <w:r>
        <w:rPr>
          <w:rFonts w:hint="eastAsia" w:ascii="Times New Roman" w:hAnsi="Times New Roman" w:eastAsia="方正仿宋_GBK" w:cs="方正仿宋_GBK"/>
          <w:color w:val="000000" w:themeColor="text1"/>
          <w:highlight w:val="none"/>
          <w:u w:val="none"/>
        </w:rPr>
        <w:t>完成境外投资项目</w:t>
      </w:r>
      <w:r>
        <w:rPr>
          <w:rFonts w:hint="eastAsia" w:ascii="Times New Roman" w:hAnsi="Times New Roman" w:eastAsia="方正仿宋_GBK" w:cs="方正仿宋_GBK"/>
          <w:color w:val="000000" w:themeColor="text1"/>
          <w:highlight w:val="none"/>
          <w:u w:val="none"/>
          <w:lang w:val="en-US" w:eastAsia="zh-CN"/>
        </w:rPr>
        <w:t>45</w:t>
      </w:r>
      <w:r>
        <w:rPr>
          <w:rFonts w:hint="eastAsia" w:ascii="Times New Roman" w:hAnsi="Times New Roman" w:eastAsia="方正仿宋_GBK" w:cs="方正仿宋_GBK"/>
          <w:color w:val="000000" w:themeColor="text1"/>
          <w:highlight w:val="none"/>
          <w:u w:val="none"/>
        </w:rPr>
        <w:t>个</w:t>
      </w:r>
      <w:r>
        <w:rPr>
          <w:rFonts w:hint="eastAsia" w:ascii="Times New Roman" w:hAnsi="Times New Roman" w:eastAsia="方正仿宋_GBK" w:cs="方正仿宋_GBK"/>
          <w:color w:val="000000" w:themeColor="text1"/>
          <w:highlight w:val="none"/>
          <w:u w:val="none"/>
          <w:lang w:eastAsia="zh-CN"/>
        </w:rPr>
        <w:t>、</w:t>
      </w:r>
      <w:r>
        <w:rPr>
          <w:rFonts w:hint="eastAsia" w:ascii="Times New Roman" w:hAnsi="Times New Roman" w:eastAsia="方正仿宋_GBK" w:cs="方正仿宋_GBK"/>
          <w:color w:val="000000" w:themeColor="text1"/>
          <w:kern w:val="2"/>
          <w:highlight w:val="none"/>
          <w:u w:val="none"/>
          <w:lang w:val="en-US" w:eastAsia="zh-CN"/>
        </w:rPr>
        <w:t>预计</w:t>
      </w:r>
      <w:r>
        <w:rPr>
          <w:rFonts w:hint="eastAsia" w:ascii="Times New Roman" w:hAnsi="Times New Roman" w:eastAsia="方正仿宋_GBK" w:cs="方正仿宋_GBK"/>
          <w:color w:val="000000" w:themeColor="text1"/>
          <w:highlight w:val="none"/>
          <w:u w:val="none"/>
          <w:lang w:val="en-US" w:eastAsia="zh-CN"/>
        </w:rPr>
        <w:t>金额3.5亿美元</w:t>
      </w:r>
      <w:r>
        <w:rPr>
          <w:rFonts w:hint="eastAsia" w:ascii="Times New Roman" w:hAnsi="Times New Roman" w:cs="方正仿宋_GBK"/>
          <w:color w:val="000000" w:themeColor="text1"/>
          <w:highlight w:val="none"/>
          <w:u w:val="none"/>
          <w:lang w:val="en-US" w:eastAsia="zh-CN"/>
        </w:rPr>
        <w:t>。</w:t>
      </w:r>
    </w:p>
    <w:p w14:paraId="314D2401">
      <w:pPr>
        <w:spacing w:line="580" w:lineRule="exact"/>
        <w:ind w:firstLine="604" w:firstLineChars="200"/>
        <w:textAlignment w:val="baseline"/>
        <w:rPr>
          <w:rFonts w:ascii="Times New Roman" w:eastAsia="方正楷体_GBK"/>
          <w:spacing w:val="2"/>
          <w:kern w:val="2"/>
          <w:highlight w:val="none"/>
        </w:rPr>
      </w:pPr>
      <w:r>
        <w:rPr>
          <w:rFonts w:hint="eastAsia" w:ascii="Times New Roman" w:eastAsia="方正楷体_GBK"/>
          <w:b/>
          <w:kern w:val="2"/>
          <w:highlight w:val="none"/>
        </w:rPr>
        <w:t>（</w:t>
      </w:r>
      <w:r>
        <w:rPr>
          <w:rFonts w:hint="eastAsia" w:ascii="Times New Roman" w:eastAsia="方正楷体_GBK"/>
          <w:b/>
          <w:spacing w:val="2"/>
          <w:kern w:val="2"/>
          <w:highlight w:val="none"/>
        </w:rPr>
        <w:t>四）城乡面貌加速焕新。</w:t>
      </w:r>
      <w:r>
        <w:rPr>
          <w:rFonts w:hint="eastAsia" w:ascii="Times New Roman" w:eastAsia="方正楷体_GBK"/>
          <w:spacing w:val="2"/>
          <w:kern w:val="2"/>
          <w:highlight w:val="none"/>
        </w:rPr>
        <w:t>路网建设提速推进。</w:t>
      </w:r>
      <w:r>
        <w:rPr>
          <w:rFonts w:hint="eastAsia" w:ascii="Times New Roman" w:cs="Courier New"/>
          <w:szCs w:val="21"/>
          <w:highlight w:val="none"/>
          <w:lang w:val="en-US" w:eastAsia="zh-CN"/>
        </w:rPr>
        <w:t>锡澄</w:t>
      </w:r>
      <w:r>
        <w:rPr>
          <w:rFonts w:hint="eastAsia" w:ascii="Times New Roman" w:cs="Courier New"/>
          <w:szCs w:val="21"/>
          <w:highlight w:val="none"/>
        </w:rPr>
        <w:t>S1线正式开通运营，</w:t>
      </w:r>
      <w:r>
        <w:rPr>
          <w:rFonts w:ascii="Times New Roman" w:hAnsi="Times New Roman" w:eastAsia="方正仿宋_GBK"/>
          <w:color w:val="000000" w:themeColor="text1"/>
          <w:spacing w:val="-3"/>
          <w:kern w:val="2"/>
          <w:sz w:val="32"/>
          <w:szCs w:val="24"/>
          <w:highlight w:val="none"/>
          <w:u w:val="none"/>
        </w:rPr>
        <w:t>长山大道一期、锡澄路暨南大道以南段、滨</w:t>
      </w:r>
      <w:r>
        <w:rPr>
          <w:rFonts w:ascii="Times New Roman" w:hAnsi="Times New Roman" w:eastAsia="方正仿宋_GBK"/>
          <w:color w:val="000000" w:themeColor="text1"/>
          <w:spacing w:val="-3"/>
          <w:sz w:val="32"/>
          <w:szCs w:val="32"/>
          <w:highlight w:val="none"/>
          <w:u w:val="none"/>
        </w:rPr>
        <w:t>江路城区段</w:t>
      </w:r>
      <w:r>
        <w:rPr>
          <w:rFonts w:hint="eastAsia" w:ascii="Times New Roman" w:hAnsi="Times New Roman" w:eastAsia="方正仿宋_GBK"/>
          <w:color w:val="000000" w:themeColor="text1"/>
          <w:spacing w:val="-3"/>
          <w:sz w:val="32"/>
          <w:szCs w:val="32"/>
          <w:highlight w:val="none"/>
          <w:u w:val="none"/>
        </w:rPr>
        <w:t>快速化改造工程</w:t>
      </w:r>
      <w:r>
        <w:rPr>
          <w:rFonts w:ascii="Times New Roman" w:hAnsi="Times New Roman" w:eastAsia="方正仿宋_GBK"/>
          <w:color w:val="000000" w:themeColor="text1"/>
          <w:spacing w:val="-3"/>
          <w:sz w:val="32"/>
          <w:szCs w:val="32"/>
          <w:highlight w:val="none"/>
          <w:u w:val="none"/>
        </w:rPr>
        <w:t>建成通车</w:t>
      </w:r>
      <w:r>
        <w:rPr>
          <w:rFonts w:hint="eastAsia" w:ascii="Times New Roman" w:cs="Courier New"/>
          <w:szCs w:val="21"/>
          <w:highlight w:val="none"/>
          <w:lang w:eastAsia="zh-CN"/>
        </w:rPr>
        <w:t>。</w:t>
      </w:r>
      <w:r>
        <w:rPr>
          <w:rFonts w:hint="eastAsia" w:ascii="Times New Roman" w:cs="Courier New"/>
          <w:szCs w:val="21"/>
          <w:highlight w:val="none"/>
        </w:rPr>
        <w:t>盐泰锡常宜铁路开工建设</w:t>
      </w:r>
      <w:r>
        <w:rPr>
          <w:rFonts w:hint="eastAsia" w:ascii="Times New Roman" w:cs="Courier New"/>
          <w:szCs w:val="21"/>
          <w:highlight w:val="none"/>
          <w:lang w:eastAsia="zh-CN"/>
        </w:rPr>
        <w:t>，</w:t>
      </w:r>
      <w:r>
        <w:rPr>
          <w:rFonts w:hint="eastAsia" w:ascii="Times New Roman" w:hAnsi="Times New Roman" w:eastAsia="方正仿宋_GBK" w:cs="方正仿宋_GBK"/>
          <w:bCs/>
          <w:color w:val="000000" w:themeColor="text1"/>
          <w:highlight w:val="none"/>
          <w:u w:val="none"/>
        </w:rPr>
        <w:t>沪武高速扩建</w:t>
      </w:r>
      <w:r>
        <w:rPr>
          <w:rFonts w:hint="eastAsia" w:ascii="Times New Roman" w:hAnsi="Times New Roman" w:eastAsia="方正仿宋_GBK" w:cs="方正仿宋_GBK"/>
          <w:bCs/>
          <w:strike w:val="0"/>
          <w:dstrike w:val="0"/>
          <w:color w:val="000000" w:themeColor="text1"/>
          <w:highlight w:val="none"/>
          <w:u w:val="none"/>
        </w:rPr>
        <w:t>江阴段</w:t>
      </w:r>
      <w:r>
        <w:rPr>
          <w:rFonts w:hint="eastAsia" w:ascii="Times New Roman" w:hAnsi="Times New Roman" w:eastAsia="方正仿宋_GBK" w:cs="方正仿宋_GBK"/>
          <w:bCs/>
          <w:strike w:val="0"/>
          <w:color w:val="000000" w:themeColor="text1"/>
          <w:highlight w:val="none"/>
          <w:u w:val="none"/>
        </w:rPr>
        <w:t>、S229</w:t>
      </w:r>
      <w:r>
        <w:rPr>
          <w:rFonts w:hint="eastAsia" w:ascii="Times New Roman" w:hAnsi="Times New Roman" w:eastAsia="方正仿宋_GBK" w:cs="方正仿宋_GBK"/>
          <w:bCs/>
          <w:strike w:val="0"/>
          <w:dstrike w:val="0"/>
          <w:color w:val="000000" w:themeColor="text1"/>
          <w:highlight w:val="none"/>
          <w:u w:val="none"/>
        </w:rPr>
        <w:t>江阴段</w:t>
      </w:r>
      <w:r>
        <w:rPr>
          <w:rFonts w:hint="eastAsia" w:ascii="Times New Roman" w:hAnsi="Times New Roman" w:eastAsia="方正仿宋_GBK" w:cs="方正仿宋_GBK"/>
          <w:bCs/>
          <w:color w:val="000000" w:themeColor="text1"/>
          <w:highlight w:val="none"/>
          <w:u w:val="none"/>
        </w:rPr>
        <w:t>全面开工</w:t>
      </w:r>
      <w:r>
        <w:rPr>
          <w:rFonts w:hint="eastAsia" w:ascii="Times New Roman" w:cs="Courier New"/>
          <w:szCs w:val="21"/>
          <w:highlight w:val="none"/>
          <w:lang w:eastAsia="zh-CN"/>
        </w:rPr>
        <w:t>。</w:t>
      </w:r>
      <w:r>
        <w:rPr>
          <w:rFonts w:hint="eastAsia" w:ascii="Times New Roman" w:hAnsi="Times New Roman" w:eastAsia="方正仿宋_GBK" w:cs="方正仿宋_GBK"/>
          <w:bCs/>
          <w:color w:val="000000" w:themeColor="text1"/>
          <w:highlight w:val="none"/>
          <w:u w:val="none"/>
        </w:rPr>
        <w:t>江阴靖江长江隧道</w:t>
      </w:r>
      <w:r>
        <w:rPr>
          <w:rFonts w:hint="eastAsia" w:ascii="Times New Roman" w:hAnsi="Times New Roman" w:eastAsia="方正仿宋_GBK" w:cs="方正仿宋_GBK"/>
          <w:bCs/>
          <w:color w:val="000000" w:themeColor="text1"/>
          <w:highlight w:val="none"/>
          <w:u w:val="none"/>
          <w:lang w:val="en-US" w:eastAsia="zh-CN"/>
        </w:rPr>
        <w:t>双</w:t>
      </w:r>
      <w:r>
        <w:rPr>
          <w:rFonts w:hint="eastAsia" w:ascii="Times New Roman" w:hAnsi="Times New Roman" w:eastAsia="方正仿宋_GBK" w:cs="方正仿宋_GBK"/>
          <w:bCs/>
          <w:color w:val="000000" w:themeColor="text1"/>
          <w:highlight w:val="none"/>
          <w:u w:val="none"/>
        </w:rPr>
        <w:t>线贯通</w:t>
      </w:r>
      <w:r>
        <w:rPr>
          <w:rFonts w:hint="eastAsia" w:ascii="Times New Roman" w:cs="Courier New"/>
          <w:szCs w:val="21"/>
          <w:highlight w:val="none"/>
        </w:rPr>
        <w:t>。</w:t>
      </w:r>
      <w:r>
        <w:rPr>
          <w:rFonts w:hint="eastAsia" w:ascii="Times New Roman" w:eastAsia="方正楷体_GBK"/>
          <w:spacing w:val="2"/>
          <w:kern w:val="2"/>
          <w:highlight w:val="none"/>
        </w:rPr>
        <w:t>城市面貌见优见美。</w:t>
      </w:r>
      <w:r>
        <w:rPr>
          <w:rFonts w:hint="eastAsia" w:ascii="Times New Roman" w:cs="Courier New"/>
          <w:szCs w:val="21"/>
          <w:highlight w:val="none"/>
        </w:rPr>
        <w:t>国乐岛美术馆、科技馆建成投用，</w:t>
      </w:r>
      <w:r>
        <w:rPr>
          <w:rFonts w:ascii="Times New Roman" w:cs="Courier New"/>
          <w:szCs w:val="21"/>
          <w:highlight w:val="none"/>
        </w:rPr>
        <w:t>北大街历史文化街区</w:t>
      </w:r>
      <w:r>
        <w:rPr>
          <w:rFonts w:hint="eastAsia" w:ascii="Times New Roman" w:cs="Courier New"/>
          <w:szCs w:val="21"/>
          <w:highlight w:val="none"/>
        </w:rPr>
        <w:t>等39个城市更新单元建设顺利推进，完成房屋征收拆迁247万平方米。改造老旧小区8个、24万平方米。建成“江小澄”口袋公园10个，完成城区老旧公园改造提升3个。</w:t>
      </w:r>
      <w:r>
        <w:rPr>
          <w:rFonts w:hint="eastAsia" w:ascii="Times New Roman" w:eastAsia="方正楷体_GBK"/>
          <w:spacing w:val="2"/>
          <w:kern w:val="2"/>
          <w:highlight w:val="none"/>
        </w:rPr>
        <w:t>城市治理更加精细。</w:t>
      </w:r>
      <w:r>
        <w:rPr>
          <w:rFonts w:hint="eastAsia" w:ascii="Times New Roman" w:cs="Courier New"/>
          <w:szCs w:val="21"/>
          <w:highlight w:val="none"/>
        </w:rPr>
        <w:t>完成建筑立面清洗78万平方米，整治背街小巷20条，</w:t>
      </w:r>
      <w:r>
        <w:rPr>
          <w:rFonts w:hint="eastAsia" w:ascii="Times New Roman" w:hAnsi="Times New Roman" w:eastAsia="方正仿宋_GBK" w:cs="方正仿宋_GBK"/>
          <w:bCs/>
          <w:color w:val="000000" w:themeColor="text1"/>
          <w:highlight w:val="none"/>
          <w:u w:val="none"/>
        </w:rPr>
        <w:t>清理</w:t>
      </w:r>
      <w:r>
        <w:rPr>
          <w:rFonts w:hint="eastAsia" w:ascii="Times New Roman" w:hAnsi="Times New Roman" w:eastAsia="方正仿宋_GBK" w:cs="方正仿宋_GBK"/>
          <w:bCs/>
          <w:color w:val="000000" w:themeColor="text1"/>
          <w:highlight w:val="none"/>
          <w:u w:val="none"/>
          <w:lang w:val="en-US" w:eastAsia="zh-CN"/>
        </w:rPr>
        <w:t>违法建设</w:t>
      </w:r>
      <w:r>
        <w:rPr>
          <w:rFonts w:hint="eastAsia" w:ascii="Times New Roman" w:hAnsi="Times New Roman" w:eastAsia="方正仿宋_GBK" w:cs="方正仿宋_GBK"/>
          <w:bCs/>
          <w:color w:val="000000" w:themeColor="text1"/>
          <w:highlight w:val="none"/>
          <w:u w:val="none"/>
        </w:rPr>
        <w:t>15</w:t>
      </w:r>
      <w:r>
        <w:rPr>
          <w:rFonts w:hint="eastAsia" w:ascii="Times New Roman" w:hAnsi="Times New Roman" w:eastAsia="方正仿宋_GBK" w:cs="方正仿宋_GBK"/>
          <w:bCs/>
          <w:color w:val="000000" w:themeColor="text1"/>
          <w:highlight w:val="none"/>
          <w:u w:val="none"/>
          <w:lang w:val="en-US" w:eastAsia="zh-CN"/>
        </w:rPr>
        <w:t>3.1</w:t>
      </w:r>
      <w:r>
        <w:rPr>
          <w:rFonts w:hint="eastAsia" w:ascii="Times New Roman" w:hAnsi="Times New Roman" w:eastAsia="方正仿宋_GBK" w:cs="方正仿宋_GBK"/>
          <w:bCs/>
          <w:color w:val="000000" w:themeColor="text1"/>
          <w:highlight w:val="none"/>
          <w:u w:val="none"/>
        </w:rPr>
        <w:t>万平方米、广告标牌3.6万平方米</w:t>
      </w:r>
      <w:r>
        <w:rPr>
          <w:rFonts w:hint="eastAsia" w:ascii="Times New Roman" w:cs="方正仿宋_GBK"/>
          <w:spacing w:val="9"/>
          <w:highlight w:val="none"/>
        </w:rPr>
        <w:t>。</w:t>
      </w:r>
      <w:r>
        <w:rPr>
          <w:rFonts w:hint="eastAsia" w:ascii="Times New Roman" w:cs="方正仿宋_GBK"/>
          <w:highlight w:val="none"/>
        </w:rPr>
        <w:t>查处违法停车12.1万起，</w:t>
      </w:r>
      <w:r>
        <w:rPr>
          <w:rFonts w:hint="eastAsia" w:ascii="Times New Roman" w:cs="方正仿宋_GBK"/>
          <w:spacing w:val="9"/>
          <w:highlight w:val="none"/>
        </w:rPr>
        <w:t>建成</w:t>
      </w:r>
      <w:r>
        <w:rPr>
          <w:rFonts w:hint="eastAsia" w:ascii="Times New Roman"/>
          <w:spacing w:val="9"/>
          <w:highlight w:val="none"/>
        </w:rPr>
        <w:t>城区立体停车楼2个，</w:t>
      </w:r>
      <w:r>
        <w:rPr>
          <w:rFonts w:hint="eastAsia" w:ascii="Times New Roman" w:hAnsi="Times New Roman" w:eastAsia="方正仿宋_GBK" w:cs="方正仿宋_GBK"/>
          <w:bCs/>
          <w:color w:val="000000" w:themeColor="text1"/>
          <w:highlight w:val="none"/>
          <w:u w:val="none"/>
        </w:rPr>
        <w:t>新增城区停车泊位7500个、</w:t>
      </w:r>
      <w:r>
        <w:rPr>
          <w:rFonts w:hint="eastAsia" w:ascii="Times New Roman" w:hAnsi="Times New Roman" w:eastAsia="方正仿宋_GBK" w:cs="方正仿宋_GBK"/>
          <w:bCs/>
          <w:color w:val="000000" w:themeColor="text1"/>
          <w:spacing w:val="0"/>
          <w:kern w:val="2"/>
          <w:sz w:val="32"/>
          <w:highlight w:val="none"/>
          <w:u w:val="none"/>
        </w:rPr>
        <w:t>“先离场后付费”停车场4</w:t>
      </w:r>
      <w:r>
        <w:rPr>
          <w:rFonts w:hint="eastAsia" w:ascii="Times New Roman" w:hAnsi="Times New Roman" w:eastAsia="方正仿宋_GBK" w:cs="方正仿宋_GBK"/>
          <w:bCs/>
          <w:color w:val="000000" w:themeColor="text1"/>
          <w:spacing w:val="0"/>
          <w:kern w:val="2"/>
          <w:sz w:val="32"/>
          <w:highlight w:val="none"/>
          <w:u w:val="none"/>
          <w:lang w:val="en-US" w:eastAsia="zh-CN"/>
        </w:rPr>
        <w:t>5</w:t>
      </w:r>
      <w:r>
        <w:rPr>
          <w:rFonts w:hint="eastAsia" w:ascii="Times New Roman" w:hAnsi="Times New Roman" w:eastAsia="方正仿宋_GBK" w:cs="方正仿宋_GBK"/>
          <w:bCs/>
          <w:color w:val="000000" w:themeColor="text1"/>
          <w:spacing w:val="0"/>
          <w:kern w:val="2"/>
          <w:sz w:val="32"/>
          <w:highlight w:val="none"/>
          <w:u w:val="none"/>
        </w:rPr>
        <w:t>个</w:t>
      </w:r>
      <w:r>
        <w:rPr>
          <w:rFonts w:hint="eastAsia" w:ascii="Times New Roman"/>
          <w:spacing w:val="9"/>
          <w:highlight w:val="none"/>
        </w:rPr>
        <w:t>。</w:t>
      </w:r>
      <w:r>
        <w:rPr>
          <w:rFonts w:hint="eastAsia" w:ascii="Times New Roman" w:eastAsia="方正楷体_GBK"/>
          <w:spacing w:val="2"/>
          <w:kern w:val="2"/>
          <w:highlight w:val="none"/>
        </w:rPr>
        <w:t>乡村振兴全面推进。</w:t>
      </w:r>
      <w:r>
        <w:rPr>
          <w:rFonts w:hint="eastAsia" w:ascii="Times New Roman" w:hAnsi="Times New Roman" w:eastAsia="方正仿宋_GBK" w:cs="方正仿宋_GBK"/>
          <w:color w:val="000000" w:themeColor="text1"/>
          <w:kern w:val="2"/>
          <w:szCs w:val="24"/>
          <w:highlight w:val="none"/>
          <w:u w:val="none"/>
        </w:rPr>
        <w:t>完成农业农村重大项目投资</w:t>
      </w:r>
      <w:r>
        <w:rPr>
          <w:rFonts w:hint="eastAsia" w:ascii="Times New Roman" w:hAnsi="Times New Roman" w:eastAsia="方正仿宋_GBK" w:cs="方正仿宋_GBK"/>
          <w:color w:val="000000" w:themeColor="text1"/>
          <w:kern w:val="2"/>
          <w:szCs w:val="24"/>
          <w:highlight w:val="none"/>
          <w:u w:val="none"/>
          <w:lang w:val="en-US" w:eastAsia="zh-CN"/>
        </w:rPr>
        <w:t>27.</w:t>
      </w:r>
      <w:r>
        <w:rPr>
          <w:rFonts w:hint="eastAsia" w:ascii="Times New Roman" w:cs="方正仿宋_GBK"/>
          <w:color w:val="000000" w:themeColor="text1"/>
          <w:kern w:val="2"/>
          <w:szCs w:val="24"/>
          <w:highlight w:val="none"/>
          <w:u w:val="none"/>
          <w:lang w:val="en-US" w:eastAsia="zh-CN"/>
        </w:rPr>
        <w:t>7</w:t>
      </w:r>
      <w:r>
        <w:rPr>
          <w:rFonts w:hint="eastAsia" w:ascii="Times New Roman" w:hAnsi="Times New Roman" w:eastAsia="方正仿宋_GBK" w:cs="方正仿宋_GBK"/>
          <w:color w:val="000000" w:themeColor="text1"/>
          <w:kern w:val="2"/>
          <w:szCs w:val="24"/>
          <w:highlight w:val="none"/>
          <w:u w:val="none"/>
        </w:rPr>
        <w:t>亿元，全年净增耕地</w:t>
      </w:r>
      <w:r>
        <w:rPr>
          <w:rFonts w:hint="eastAsia" w:ascii="Times New Roman" w:hAnsi="Times New Roman" w:eastAsia="方正仿宋_GBK" w:cs="方正仿宋_GBK"/>
          <w:color w:val="000000" w:themeColor="text1"/>
          <w:kern w:val="2"/>
          <w:szCs w:val="24"/>
          <w:highlight w:val="none"/>
          <w:u w:val="none"/>
          <w:lang w:val="en-US" w:eastAsia="zh-CN"/>
        </w:rPr>
        <w:t>3900</w:t>
      </w:r>
      <w:r>
        <w:rPr>
          <w:rFonts w:hint="eastAsia" w:ascii="Times New Roman" w:hAnsi="Times New Roman" w:eastAsia="方正仿宋_GBK" w:cs="方正仿宋_GBK"/>
          <w:color w:val="000000" w:themeColor="text1"/>
          <w:kern w:val="2"/>
          <w:szCs w:val="24"/>
          <w:highlight w:val="none"/>
          <w:u w:val="none"/>
        </w:rPr>
        <w:t>亩、</w:t>
      </w:r>
      <w:r>
        <w:rPr>
          <w:rFonts w:hint="eastAsia" w:ascii="Times New Roman" w:hAnsi="Times New Roman" w:eastAsia="方正仿宋_GBK" w:cs="方正仿宋_GBK"/>
          <w:color w:val="000000" w:themeColor="text1"/>
          <w:kern w:val="2"/>
          <w:szCs w:val="24"/>
          <w:highlight w:val="none"/>
          <w:u w:val="none"/>
          <w:lang w:eastAsia="zh-CN"/>
        </w:rPr>
        <w:t>扩容</w:t>
      </w:r>
      <w:r>
        <w:rPr>
          <w:rFonts w:hint="eastAsia" w:ascii="Times New Roman" w:hAnsi="Times New Roman" w:eastAsia="方正仿宋_GBK" w:cs="方正仿宋_GBK"/>
          <w:color w:val="000000" w:themeColor="text1"/>
          <w:kern w:val="2"/>
          <w:szCs w:val="24"/>
          <w:highlight w:val="none"/>
          <w:u w:val="none"/>
        </w:rPr>
        <w:t>高标准农田2.9万亩，</w:t>
      </w:r>
      <w:r>
        <w:rPr>
          <w:rFonts w:hint="eastAsia" w:ascii="Times New Roman" w:cs="Courier New"/>
          <w:szCs w:val="21"/>
          <w:highlight w:val="none"/>
        </w:rPr>
        <w:t>粮食生产实现播种面积、总产双增长，建成</w:t>
      </w:r>
      <w:r>
        <w:rPr>
          <w:rFonts w:hint="eastAsia" w:ascii="Times New Roman" w:cs="方正仿宋_GBK"/>
          <w:szCs w:val="21"/>
          <w:highlight w:val="none"/>
        </w:rPr>
        <w:t>“国字号”</w:t>
      </w:r>
      <w:r>
        <w:rPr>
          <w:rFonts w:hint="eastAsia" w:ascii="Times New Roman" w:cs="Courier New"/>
          <w:szCs w:val="21"/>
          <w:highlight w:val="none"/>
        </w:rPr>
        <w:t>产业强镇2个。开工建设水美乡村16个，获评省首批宜居宜业和美乡村</w:t>
      </w:r>
      <w:r>
        <w:rPr>
          <w:rFonts w:ascii="Times New Roman" w:cs="Courier New"/>
          <w:szCs w:val="21"/>
          <w:highlight w:val="none"/>
        </w:rPr>
        <w:t>24</w:t>
      </w:r>
      <w:r>
        <w:rPr>
          <w:rFonts w:hint="eastAsia" w:ascii="Times New Roman" w:cs="Courier New"/>
          <w:szCs w:val="21"/>
          <w:highlight w:val="none"/>
        </w:rPr>
        <w:t>个，</w:t>
      </w:r>
      <w:r>
        <w:rPr>
          <w:rFonts w:hint="eastAsia" w:ascii="Times New Roman"/>
          <w:bCs/>
          <w:highlight w:val="none"/>
        </w:rPr>
        <w:t>完成农房改善3012户。</w:t>
      </w:r>
    </w:p>
    <w:p w14:paraId="441D916F">
      <w:pPr>
        <w:spacing w:line="580" w:lineRule="exact"/>
        <w:ind w:firstLine="612" w:firstLineChars="200"/>
        <w:textAlignment w:val="baseline"/>
        <w:rPr>
          <w:rFonts w:ascii="Times New Roman" w:eastAsia="方正楷体_GBK"/>
          <w:bCs/>
          <w:kern w:val="2"/>
          <w:highlight w:val="none"/>
        </w:rPr>
      </w:pPr>
      <w:r>
        <w:rPr>
          <w:rFonts w:hint="eastAsia" w:ascii="Times New Roman" w:eastAsia="方正楷体_GBK"/>
          <w:b/>
          <w:spacing w:val="2"/>
          <w:kern w:val="2"/>
          <w:highlight w:val="none"/>
        </w:rPr>
        <w:t>（五）生态品质优化提升。</w:t>
      </w:r>
      <w:r>
        <w:rPr>
          <w:rFonts w:hint="eastAsia" w:ascii="Times New Roman" w:eastAsia="方正楷体_GBK"/>
          <w:bCs/>
          <w:kern w:val="2"/>
          <w:highlight w:val="none"/>
        </w:rPr>
        <w:t>环境质量持续改善。</w:t>
      </w:r>
      <w:r>
        <w:rPr>
          <w:rFonts w:ascii="Times New Roman"/>
          <w:kern w:val="21"/>
          <w:highlight w:val="none"/>
        </w:rPr>
        <w:t>推进PM</w:t>
      </w:r>
      <w:r>
        <w:rPr>
          <w:rFonts w:ascii="Times New Roman"/>
          <w:kern w:val="21"/>
          <w:highlight w:val="none"/>
          <w:vertAlign w:val="subscript"/>
        </w:rPr>
        <w:t>2.5</w:t>
      </w:r>
      <w:r>
        <w:rPr>
          <w:rFonts w:ascii="Times New Roman"/>
          <w:kern w:val="21"/>
          <w:highlight w:val="none"/>
        </w:rPr>
        <w:t>和臭氧</w:t>
      </w:r>
      <w:r>
        <w:rPr>
          <w:rFonts w:hint="eastAsia" w:ascii="Times New Roman" w:cs="方正仿宋_GBK"/>
          <w:kern w:val="21"/>
          <w:highlight w:val="none"/>
        </w:rPr>
        <w:t>浓度“双控双减”，</w:t>
      </w:r>
      <w:r>
        <w:rPr>
          <w:rFonts w:hint="eastAsia" w:ascii="Times New Roman" w:cs="方正仿宋_GBK"/>
          <w:kern w:val="21"/>
          <w:highlight w:val="none"/>
          <w:lang w:val="en-US" w:eastAsia="zh-CN"/>
        </w:rPr>
        <w:t>完成</w:t>
      </w:r>
      <w:r>
        <w:rPr>
          <w:rFonts w:hint="eastAsia" w:ascii="Times New Roman" w:cs="方正仿宋_GBK"/>
          <w:kern w:val="21"/>
          <w:highlight w:val="none"/>
        </w:rPr>
        <w:t>1600</w:t>
      </w:r>
      <w:r>
        <w:rPr>
          <w:rFonts w:hint="eastAsia" w:ascii="Times New Roman"/>
          <w:kern w:val="21"/>
          <w:highlight w:val="none"/>
        </w:rPr>
        <w:t>个</w:t>
      </w:r>
      <w:r>
        <w:rPr>
          <w:rFonts w:ascii="Times New Roman"/>
          <w:kern w:val="21"/>
          <w:highlight w:val="none"/>
        </w:rPr>
        <w:t>大气</w:t>
      </w:r>
      <w:r>
        <w:rPr>
          <w:rFonts w:hint="eastAsia" w:ascii="Times New Roman"/>
          <w:kern w:val="21"/>
          <w:highlight w:val="none"/>
          <w:lang w:val="en-US" w:eastAsia="zh-CN"/>
        </w:rPr>
        <w:t>治理</w:t>
      </w:r>
      <w:r>
        <w:rPr>
          <w:rFonts w:ascii="Times New Roman"/>
          <w:kern w:val="21"/>
          <w:highlight w:val="none"/>
        </w:rPr>
        <w:t>项目</w:t>
      </w:r>
      <w:r>
        <w:rPr>
          <w:rFonts w:hint="eastAsia" w:ascii="Times New Roman"/>
          <w:kern w:val="21"/>
          <w:highlight w:val="none"/>
        </w:rPr>
        <w:t>，</w:t>
      </w:r>
      <w:r>
        <w:rPr>
          <w:rFonts w:hint="eastAsia" w:ascii="Times New Roman" w:cs="方正仿宋_GBK"/>
          <w:kern w:val="21"/>
          <w:highlight w:val="none"/>
        </w:rPr>
        <w:t>空气质量优良天数</w:t>
      </w:r>
      <w:r>
        <w:rPr>
          <w:rFonts w:hint="eastAsia" w:ascii="Times New Roman" w:cs="方正仿宋_GBK"/>
          <w:kern w:val="21"/>
          <w:highlight w:val="none"/>
          <w:lang w:val="en-US" w:eastAsia="zh-CN"/>
        </w:rPr>
        <w:t>持续提升</w:t>
      </w:r>
      <w:r>
        <w:rPr>
          <w:rFonts w:hint="eastAsia" w:ascii="Times New Roman" w:cs="方正仿宋_GBK"/>
          <w:kern w:val="21"/>
          <w:highlight w:val="none"/>
        </w:rPr>
        <w:t>。</w:t>
      </w:r>
      <w:r>
        <w:rPr>
          <w:rFonts w:hint="eastAsia" w:ascii="Times New Roman" w:hAnsi="Times New Roman" w:eastAsia="方正仿宋_GBK" w:cs="方正仿宋_GBK"/>
          <w:color w:val="000000" w:themeColor="text1"/>
          <w:highlight w:val="none"/>
          <w:u w:val="none"/>
        </w:rPr>
        <w:t>开展通江及</w:t>
      </w:r>
      <w:r>
        <w:rPr>
          <w:rFonts w:hint="eastAsia" w:ascii="Times New Roman" w:hAnsi="Times New Roman" w:eastAsia="方正仿宋_GBK" w:cs="方正仿宋_GBK"/>
          <w:color w:val="000000" w:themeColor="text1"/>
          <w:highlight w:val="none"/>
          <w:u w:val="none"/>
          <w:lang w:val="en-US" w:eastAsia="zh-CN"/>
        </w:rPr>
        <w:t>太湖</w:t>
      </w:r>
      <w:r>
        <w:rPr>
          <w:rFonts w:hint="eastAsia" w:ascii="Times New Roman" w:hAnsi="Times New Roman" w:eastAsia="方正仿宋_GBK" w:cs="方正仿宋_GBK"/>
          <w:color w:val="000000" w:themeColor="text1"/>
          <w:highlight w:val="none"/>
          <w:u w:val="none"/>
        </w:rPr>
        <w:t>入湖河道水质提升“1+10”行动，整治涉磷涉酚企业2129家</w:t>
      </w:r>
      <w:r>
        <w:rPr>
          <w:rFonts w:hint="eastAsia" w:ascii="Times New Roman" w:cs="方正仿宋_GBK"/>
          <w:kern w:val="21"/>
          <w:highlight w:val="none"/>
        </w:rPr>
        <w:t>，</w:t>
      </w:r>
      <w:r>
        <w:rPr>
          <w:rFonts w:hint="eastAsia" w:ascii="Times New Roman" w:cs="Courier New"/>
          <w:szCs w:val="21"/>
          <w:highlight w:val="none"/>
        </w:rPr>
        <w:t>建成美丽幸福河湖121条，</w:t>
      </w:r>
      <w:r>
        <w:rPr>
          <w:rFonts w:hint="eastAsia" w:ascii="Times New Roman" w:hAnsi="Times New Roman" w:eastAsia="方正仿宋_GBK"/>
          <w:color w:val="000000" w:themeColor="text1"/>
          <w:spacing w:val="-3"/>
          <w:kern w:val="2"/>
          <w:sz w:val="32"/>
          <w:szCs w:val="24"/>
          <w:highlight w:val="none"/>
          <w:u w:val="none"/>
        </w:rPr>
        <w:t>9条主要通江河道水质首次全部达到Ⅱ类</w:t>
      </w:r>
      <w:r>
        <w:rPr>
          <w:rFonts w:hint="eastAsia" w:ascii="Times New Roman" w:cs="方正仿宋_GBK"/>
          <w:kern w:val="21"/>
          <w:highlight w:val="none"/>
        </w:rPr>
        <w:t>。</w:t>
      </w:r>
      <w:r>
        <w:rPr>
          <w:rFonts w:hint="eastAsia" w:ascii="Times New Roman" w:hAnsi="Times New Roman" w:eastAsia="方正仿宋_GBK" w:cs="方正仿宋_GBK"/>
          <w:color w:val="000000" w:themeColor="text1"/>
          <w:highlight w:val="none"/>
          <w:u w:val="none"/>
        </w:rPr>
        <w:t>推动一般工业固废处理“1+2+6+N”收运处置系统建设，</w:t>
      </w:r>
      <w:r>
        <w:rPr>
          <w:rFonts w:hint="eastAsia" w:ascii="Times New Roman" w:hAnsi="Times New Roman" w:eastAsia="方正仿宋_GBK" w:cs="方正仿宋_GBK"/>
          <w:bCs/>
          <w:color w:val="000000" w:themeColor="text1"/>
          <w:highlight w:val="none"/>
          <w:u w:val="none"/>
          <w:lang w:val="en-US" w:eastAsia="zh-CN"/>
        </w:rPr>
        <w:t>秦望山绿色循环产业园通过国家级验收</w:t>
      </w:r>
      <w:r>
        <w:rPr>
          <w:rFonts w:ascii="Times New Roman"/>
          <w:kern w:val="21"/>
          <w:highlight w:val="none"/>
        </w:rPr>
        <w:t>。</w:t>
      </w:r>
      <w:r>
        <w:rPr>
          <w:rFonts w:hint="eastAsia" w:ascii="Times New Roman" w:eastAsia="方正楷体_GBK"/>
          <w:bCs/>
          <w:kern w:val="2"/>
          <w:highlight w:val="none"/>
        </w:rPr>
        <w:t>绿色转型步伐加快。</w:t>
      </w:r>
      <w:r>
        <w:rPr>
          <w:rFonts w:hint="eastAsia" w:ascii="Times New Roman"/>
          <w:szCs w:val="40"/>
          <w:highlight w:val="none"/>
        </w:rPr>
        <w:t>生态产品价值实现机制试点、整县分布式光伏开发试点工作稳步推进，全市新增光伏装机并网容量411.4兆瓦。</w:t>
      </w:r>
      <w:r>
        <w:rPr>
          <w:rFonts w:ascii="Times New Roman"/>
          <w:kern w:val="21"/>
          <w:highlight w:val="none"/>
        </w:rPr>
        <w:t>全面开工建设4个印染集聚区，</w:t>
      </w:r>
      <w:r>
        <w:rPr>
          <w:rFonts w:hint="eastAsia" w:ascii="Times New Roman"/>
          <w:kern w:val="21"/>
          <w:highlight w:val="none"/>
        </w:rPr>
        <w:t>已</w:t>
      </w:r>
      <w:r>
        <w:rPr>
          <w:rFonts w:hint="eastAsia" w:ascii="Times New Roman"/>
          <w:kern w:val="21"/>
          <w:highlight w:val="none"/>
          <w:lang w:val="en-US" w:eastAsia="zh-CN"/>
        </w:rPr>
        <w:t>签订</w:t>
      </w:r>
      <w:r>
        <w:rPr>
          <w:rFonts w:hint="eastAsia" w:ascii="Times New Roman"/>
          <w:kern w:val="21"/>
          <w:highlight w:val="none"/>
        </w:rPr>
        <w:t>入园</w:t>
      </w:r>
      <w:r>
        <w:rPr>
          <w:rFonts w:hint="eastAsia" w:ascii="Times New Roman"/>
          <w:kern w:val="21"/>
          <w:highlight w:val="none"/>
          <w:lang w:val="en-US" w:eastAsia="zh-CN"/>
        </w:rPr>
        <w:t>协议</w:t>
      </w:r>
      <w:r>
        <w:rPr>
          <w:rFonts w:hint="eastAsia" w:ascii="Times New Roman"/>
          <w:kern w:val="21"/>
          <w:highlight w:val="none"/>
        </w:rPr>
        <w:t>企业1</w:t>
      </w:r>
      <w:r>
        <w:rPr>
          <w:rFonts w:hint="eastAsia" w:ascii="Times New Roman"/>
          <w:kern w:val="21"/>
          <w:highlight w:val="none"/>
          <w:lang w:val="en-US" w:eastAsia="zh-CN"/>
        </w:rPr>
        <w:t>10</w:t>
      </w:r>
      <w:r>
        <w:rPr>
          <w:rFonts w:hint="eastAsia" w:ascii="Times New Roman"/>
          <w:kern w:val="21"/>
          <w:highlight w:val="none"/>
        </w:rPr>
        <w:t>家</w:t>
      </w:r>
      <w:r>
        <w:rPr>
          <w:rFonts w:hint="eastAsia" w:ascii="Times New Roman"/>
          <w:kern w:val="21"/>
          <w:highlight w:val="none"/>
          <w:lang w:eastAsia="zh-CN"/>
        </w:rPr>
        <w:t>、</w:t>
      </w:r>
      <w:r>
        <w:rPr>
          <w:rFonts w:hint="eastAsia" w:ascii="Times New Roman"/>
          <w:kern w:val="21"/>
          <w:highlight w:val="none"/>
        </w:rPr>
        <w:t>关停</w:t>
      </w:r>
      <w:r>
        <w:rPr>
          <w:rFonts w:hint="eastAsia" w:ascii="Times New Roman"/>
          <w:kern w:val="21"/>
          <w:highlight w:val="none"/>
          <w:lang w:val="en-US" w:eastAsia="zh-CN"/>
        </w:rPr>
        <w:t>33</w:t>
      </w:r>
      <w:r>
        <w:rPr>
          <w:rFonts w:hint="eastAsia" w:ascii="Times New Roman"/>
          <w:kern w:val="21"/>
          <w:highlight w:val="none"/>
        </w:rPr>
        <w:t>家</w:t>
      </w:r>
      <w:r>
        <w:rPr>
          <w:rFonts w:ascii="Times New Roman"/>
          <w:kern w:val="21"/>
          <w:highlight w:val="none"/>
        </w:rPr>
        <w:t>。</w:t>
      </w:r>
      <w:r>
        <w:rPr>
          <w:rFonts w:hint="eastAsia" w:ascii="Times New Roman" w:cs="方正仿宋_GBK"/>
          <w:spacing w:val="6"/>
          <w:kern w:val="21"/>
          <w:highlight w:val="none"/>
        </w:rPr>
        <w:t>深入推动钢铁、石化等重点产业以及重点领域节能降碳，实施产业焕新绿色制造项目47个，</w:t>
      </w:r>
      <w:r>
        <w:rPr>
          <w:rFonts w:hint="eastAsia" w:ascii="方正仿宋_GBK" w:eastAsia="方正仿宋_GBK" w:hAnsiTheme="minorHAnsi" w:cstheme="minorBidi"/>
          <w:kern w:val="32"/>
          <w:sz w:val="32"/>
          <w:szCs w:val="32"/>
          <w:highlight w:val="none"/>
          <w:lang w:val="en-US" w:eastAsia="zh-CN" w:bidi="ar-SA"/>
        </w:rPr>
        <w:t>新增国家级绿色工业园区1个、绿色工厂4家</w:t>
      </w:r>
      <w:r>
        <w:rPr>
          <w:rFonts w:hint="eastAsia" w:ascii="Times New Roman" w:cs="方正仿宋_GBK"/>
          <w:spacing w:val="6"/>
          <w:kern w:val="21"/>
          <w:highlight w:val="none"/>
        </w:rPr>
        <w:t>。</w:t>
      </w:r>
      <w:r>
        <w:rPr>
          <w:rFonts w:hint="eastAsia" w:ascii="Times New Roman" w:eastAsia="方正楷体_GBK"/>
          <w:bCs/>
          <w:kern w:val="2"/>
          <w:highlight w:val="none"/>
        </w:rPr>
        <w:t>生态底色更加鲜明。</w:t>
      </w:r>
      <w:r>
        <w:rPr>
          <w:rFonts w:hint="eastAsia" w:ascii="Times New Roman"/>
          <w:kern w:val="0"/>
          <w:highlight w:val="none"/>
        </w:rPr>
        <w:t>坚定不移推进长江十年禁渔，开展长三角水生生物增殖放流暨长江禁渔联合执法</w:t>
      </w:r>
      <w:r>
        <w:rPr>
          <w:rFonts w:hint="eastAsia" w:ascii="Times New Roman" w:hAnsi="Times New Roman" w:eastAsia="方正仿宋_GBK" w:cs="方正仿宋_GBK"/>
          <w:color w:val="000000" w:themeColor="text1"/>
          <w:highlight w:val="none"/>
          <w:u w:val="none"/>
        </w:rPr>
        <w:t>，</w:t>
      </w:r>
      <w:r>
        <w:rPr>
          <w:rFonts w:hint="eastAsia" w:ascii="Times New Roman" w:hAnsi="Times New Roman" w:eastAsia="方正仿宋_GBK" w:cs="方正仿宋_GBK"/>
          <w:color w:val="000000" w:themeColor="text1"/>
          <w:szCs w:val="32"/>
          <w:highlight w:val="none"/>
          <w:u w:val="none"/>
        </w:rPr>
        <w:t>放流长江中华鲟等鱼类</w:t>
      </w:r>
      <w:r>
        <w:rPr>
          <w:rFonts w:hint="eastAsia" w:ascii="Times New Roman" w:hAnsi="Times New Roman" w:eastAsia="方正仿宋_GBK" w:cs="方正仿宋_GBK"/>
          <w:color w:val="000000" w:themeColor="text1"/>
          <w:szCs w:val="32"/>
          <w:highlight w:val="none"/>
          <w:u w:val="none"/>
          <w:lang w:val="en-US" w:eastAsia="zh-CN"/>
        </w:rPr>
        <w:t>63</w:t>
      </w:r>
      <w:r>
        <w:rPr>
          <w:rFonts w:hint="eastAsia" w:ascii="Times New Roman" w:hAnsi="Times New Roman" w:eastAsia="方正仿宋_GBK" w:cs="方正仿宋_GBK"/>
          <w:color w:val="000000" w:themeColor="text1"/>
          <w:szCs w:val="32"/>
          <w:highlight w:val="none"/>
          <w:u w:val="none"/>
        </w:rPr>
        <w:t>万余尾</w:t>
      </w:r>
      <w:r>
        <w:rPr>
          <w:rFonts w:hint="eastAsia" w:ascii="Times New Roman"/>
          <w:kern w:val="0"/>
          <w:highlight w:val="none"/>
        </w:rPr>
        <w:t>。</w:t>
      </w:r>
      <w:r>
        <w:rPr>
          <w:rFonts w:hint="eastAsia" w:ascii="Times New Roman"/>
          <w:highlight w:val="none"/>
        </w:rPr>
        <w:t>加快</w:t>
      </w:r>
      <w:r>
        <w:rPr>
          <w:rFonts w:ascii="Times New Roman"/>
          <w:highlight w:val="none"/>
        </w:rPr>
        <w:t>创建国家森林城市，</w:t>
      </w:r>
      <w:r>
        <w:rPr>
          <w:rFonts w:hint="eastAsia" w:ascii="Times New Roman"/>
          <w:kern w:val="0"/>
          <w:highlight w:val="none"/>
        </w:rPr>
        <w:t>新增造林828.6亩，林木覆盖率稳定在25%左右。</w:t>
      </w:r>
    </w:p>
    <w:p w14:paraId="7FC1F3CC">
      <w:pPr>
        <w:spacing w:line="580" w:lineRule="exact"/>
        <w:ind w:firstLine="612" w:firstLineChars="200"/>
        <w:rPr>
          <w:rFonts w:ascii="Times New Roman"/>
          <w:highlight w:val="none"/>
        </w:rPr>
      </w:pPr>
      <w:r>
        <w:rPr>
          <w:rFonts w:hint="eastAsia" w:ascii="Times New Roman" w:eastAsia="方正楷体_GBK"/>
          <w:b/>
          <w:spacing w:val="2"/>
          <w:kern w:val="2"/>
          <w:highlight w:val="none"/>
        </w:rPr>
        <w:t>（六）社会民生保障有力</w:t>
      </w:r>
      <w:r>
        <w:rPr>
          <w:rFonts w:hint="eastAsia" w:ascii="Times New Roman" w:eastAsia="方正楷体_GBK"/>
          <w:bCs/>
          <w:kern w:val="2"/>
          <w:highlight w:val="none"/>
        </w:rPr>
        <w:t>。社会保障健全完善。</w:t>
      </w:r>
      <w:r>
        <w:rPr>
          <w:rFonts w:ascii="Times New Roman"/>
          <w:highlight w:val="none"/>
        </w:rPr>
        <w:t>举办线上线下招聘活动300余场</w:t>
      </w:r>
      <w:r>
        <w:rPr>
          <w:rFonts w:hint="eastAsia" w:ascii="Times New Roman"/>
          <w:highlight w:val="none"/>
        </w:rPr>
        <w:t>，</w:t>
      </w:r>
      <w:r>
        <w:rPr>
          <w:rFonts w:ascii="Times New Roman"/>
          <w:highlight w:val="none"/>
        </w:rPr>
        <w:t>提供就业岗位</w:t>
      </w:r>
      <w:r>
        <w:rPr>
          <w:rFonts w:hint="eastAsia" w:ascii="Times New Roman"/>
          <w:highlight w:val="none"/>
        </w:rPr>
        <w:t>6</w:t>
      </w:r>
      <w:r>
        <w:rPr>
          <w:rFonts w:ascii="Times New Roman"/>
          <w:highlight w:val="none"/>
        </w:rPr>
        <w:t>.</w:t>
      </w:r>
      <w:r>
        <w:rPr>
          <w:rFonts w:hint="eastAsia" w:ascii="Times New Roman"/>
          <w:highlight w:val="none"/>
          <w:lang w:val="en-US" w:eastAsia="zh-CN"/>
        </w:rPr>
        <w:t>9</w:t>
      </w:r>
      <w:r>
        <w:rPr>
          <w:rFonts w:ascii="Times New Roman"/>
          <w:highlight w:val="none"/>
        </w:rPr>
        <w:t>万个</w:t>
      </w:r>
      <w:r>
        <w:rPr>
          <w:rFonts w:hint="eastAsia" w:ascii="Times New Roman"/>
          <w:highlight w:val="none"/>
        </w:rPr>
        <w:t>。落实就业困难人员就业援助，</w:t>
      </w:r>
      <w:r>
        <w:rPr>
          <w:rFonts w:ascii="Times New Roman"/>
          <w:highlight w:val="none"/>
        </w:rPr>
        <w:t>兜底帮扶困难群体就业830人</w:t>
      </w:r>
      <w:r>
        <w:rPr>
          <w:rFonts w:hint="eastAsia" w:ascii="Times New Roman"/>
          <w:highlight w:val="none"/>
        </w:rPr>
        <w:t>，</w:t>
      </w:r>
      <w:r>
        <w:rPr>
          <w:rFonts w:ascii="Times New Roman"/>
          <w:highlight w:val="none"/>
        </w:rPr>
        <w:t>就业困难人员实现再就业2900人</w:t>
      </w:r>
      <w:r>
        <w:rPr>
          <w:rFonts w:hint="eastAsia" w:ascii="Times New Roman"/>
          <w:highlight w:val="none"/>
        </w:rPr>
        <w:t>。社保参保扩面新增3.3万人，</w:t>
      </w:r>
      <w:r>
        <w:rPr>
          <w:rFonts w:hint="eastAsia" w:ascii="Times New Roman" w:hAnsi="Times New Roman" w:eastAsia="方正仿宋_GBK" w:cs="方正仿宋_GBK"/>
          <w:color w:val="000000" w:themeColor="text1"/>
          <w:highlight w:val="none"/>
          <w:u w:val="none"/>
        </w:rPr>
        <w:t>城乡居民养老保险基础养老金标准、基本医疗保险人均筹资标准稳步提</w:t>
      </w:r>
      <w:r>
        <w:rPr>
          <w:rFonts w:hint="eastAsia" w:ascii="Times New Roman" w:hAnsi="Times New Roman" w:eastAsia="方正仿宋_GBK" w:cs="方正仿宋_GBK"/>
          <w:color w:val="000000" w:themeColor="text1"/>
          <w:highlight w:val="none"/>
          <w:u w:val="none"/>
          <w:lang w:val="en-US" w:eastAsia="zh-CN"/>
        </w:rPr>
        <w:t>高</w:t>
      </w:r>
      <w:r>
        <w:rPr>
          <w:rFonts w:hint="eastAsia" w:ascii="Times New Roman"/>
          <w:highlight w:val="none"/>
        </w:rPr>
        <w:t>。</w:t>
      </w:r>
      <w:r>
        <w:rPr>
          <w:rFonts w:hint="eastAsia" w:ascii="Times New Roman" w:hAnsi="Times New Roman" w:eastAsia="方正仿宋_GBK" w:cs="方正仿宋_GBK"/>
          <w:color w:val="auto"/>
          <w:spacing w:val="0"/>
          <w:kern w:val="2"/>
          <w:sz w:val="32"/>
          <w:highlight w:val="none"/>
          <w:u w:val="none"/>
          <w:lang w:val="en-US" w:eastAsia="zh-CN"/>
        </w:rPr>
        <w:t>发放各类政策性保障资金和公益慈善金2.</w:t>
      </w:r>
      <w:r>
        <w:rPr>
          <w:rFonts w:hint="eastAsia" w:ascii="Times New Roman" w:cs="方正仿宋_GBK"/>
          <w:color w:val="auto"/>
          <w:spacing w:val="0"/>
          <w:kern w:val="2"/>
          <w:sz w:val="32"/>
          <w:highlight w:val="none"/>
          <w:u w:val="none"/>
          <w:lang w:val="en-US" w:eastAsia="zh-CN"/>
        </w:rPr>
        <w:t>7</w:t>
      </w:r>
      <w:r>
        <w:rPr>
          <w:rFonts w:hint="eastAsia" w:ascii="Times New Roman" w:hAnsi="Times New Roman" w:eastAsia="方正仿宋_GBK" w:cs="方正仿宋_GBK"/>
          <w:color w:val="auto"/>
          <w:spacing w:val="0"/>
          <w:kern w:val="2"/>
          <w:sz w:val="32"/>
          <w:highlight w:val="none"/>
          <w:u w:val="none"/>
          <w:lang w:val="en-US" w:eastAsia="zh-CN"/>
        </w:rPr>
        <w:t>亿元、惠及10.7万人</w:t>
      </w:r>
      <w:r>
        <w:rPr>
          <w:rFonts w:hint="eastAsia" w:ascii="Times New Roman"/>
          <w:color w:val="000000" w:themeColor="text1"/>
          <w:highlight w:val="none"/>
        </w:rPr>
        <w:t>。</w:t>
      </w:r>
      <w:r>
        <w:rPr>
          <w:rFonts w:hint="eastAsia" w:ascii="Times New Roman"/>
          <w:highlight w:val="none"/>
        </w:rPr>
        <w:t>筹建保障性租赁住房3692套。</w:t>
      </w:r>
      <w:r>
        <w:rPr>
          <w:rFonts w:hint="eastAsia" w:ascii="Times New Roman" w:eastAsia="方正楷体_GBK"/>
          <w:bCs/>
          <w:kern w:val="2"/>
          <w:highlight w:val="none"/>
        </w:rPr>
        <w:t>民生服务优质供给。</w:t>
      </w:r>
      <w:r>
        <w:rPr>
          <w:rFonts w:hint="eastAsia" w:ascii="Times New Roman" w:hAnsi="Times New Roman" w:eastAsia="方正仿宋_GBK" w:cs="方正仿宋_GBK"/>
          <w:color w:val="000000" w:themeColor="text1"/>
          <w:highlight w:val="none"/>
          <w:u w:val="none"/>
          <w:lang w:val="en-US" w:eastAsia="zh-CN"/>
        </w:rPr>
        <w:t>华东师大江阴实验学校等11所学校完成新建或改扩建，</w:t>
      </w:r>
      <w:r>
        <w:rPr>
          <w:rFonts w:hint="eastAsia" w:ascii="Times New Roman" w:hAnsi="Times New Roman" w:eastAsia="方正仿宋_GBK" w:cs="方正仿宋_GBK"/>
          <w:color w:val="auto"/>
          <w:spacing w:val="0"/>
          <w:kern w:val="2"/>
          <w:sz w:val="32"/>
          <w:highlight w:val="none"/>
          <w:u w:val="none"/>
          <w:lang w:val="en-US" w:eastAsia="zh-CN"/>
        </w:rPr>
        <w:t>顺利通过国家级学前教育普及普惠县、义务教育优质均衡县现场评估验收，南菁高中创成省高品质高中，普通类考生本一进线率、本科进线率均创历史新高。</w:t>
      </w:r>
      <w:r>
        <w:rPr>
          <w:rFonts w:hint="eastAsia" w:ascii="Times New Roman"/>
          <w:highlight w:val="none"/>
        </w:rPr>
        <w:t>市中医院异地新建、泰富临港医院等项目建成投用，市人民医院、市中医院在全国公立三级（中）医院绩效考核中首次进入A等级。</w:t>
      </w:r>
      <w:r>
        <w:rPr>
          <w:rFonts w:hint="eastAsia" w:ascii="Times New Roman" w:eastAsia="方正楷体_GBK" w:cs="方正楷体_GBK"/>
          <w:bCs/>
          <w:kern w:val="2"/>
          <w:highlight w:val="none"/>
        </w:rPr>
        <w:t>夯实“一老一小”保障。</w:t>
      </w:r>
      <w:r>
        <w:rPr>
          <w:rFonts w:hint="eastAsia" w:ascii="Times New Roman" w:hAnsi="Times New Roman" w:eastAsia="方正仿宋_GBK" w:cs="方正仿宋_GBK"/>
          <w:color w:val="000000" w:themeColor="text1"/>
          <w:highlight w:val="none"/>
          <w:u w:val="none"/>
        </w:rPr>
        <w:t>建成投运</w:t>
      </w:r>
      <w:r>
        <w:rPr>
          <w:rFonts w:hint="eastAsia" w:ascii="Times New Roman" w:hAnsi="Times New Roman" w:eastAsia="方正仿宋_GBK" w:cs="方正仿宋_GBK"/>
          <w:color w:val="000000" w:themeColor="text1"/>
          <w:highlight w:val="none"/>
          <w:u w:val="none"/>
          <w:lang w:val="en-US" w:eastAsia="zh-CN"/>
        </w:rPr>
        <w:t>首家“</w:t>
      </w:r>
      <w:r>
        <w:rPr>
          <w:rFonts w:hint="eastAsia" w:ascii="Times New Roman" w:hAnsi="Times New Roman" w:eastAsia="方正仿宋_GBK" w:cs="方正仿宋_GBK"/>
          <w:color w:val="000000" w:themeColor="text1"/>
          <w:highlight w:val="none"/>
          <w:u w:val="none"/>
        </w:rPr>
        <w:t>澄颐享</w:t>
      </w:r>
      <w:r>
        <w:rPr>
          <w:rFonts w:hint="eastAsia" w:ascii="Times New Roman" w:hAnsi="Times New Roman" w:eastAsia="方正仿宋_GBK" w:cs="方正仿宋_GBK"/>
          <w:color w:val="000000" w:themeColor="text1"/>
          <w:highlight w:val="none"/>
          <w:u w:val="none"/>
          <w:lang w:val="en-US" w:eastAsia="zh-CN"/>
        </w:rPr>
        <w:t>”</w:t>
      </w:r>
      <w:r>
        <w:rPr>
          <w:rFonts w:hint="eastAsia" w:ascii="Times New Roman" w:hAnsi="Times New Roman" w:eastAsia="方正仿宋_GBK" w:cs="方正仿宋_GBK"/>
          <w:color w:val="000000" w:themeColor="text1"/>
          <w:highlight w:val="none"/>
          <w:u w:val="none"/>
        </w:rPr>
        <w:t>AI社区餐厅，</w:t>
      </w:r>
      <w:r>
        <w:rPr>
          <w:rFonts w:hint="eastAsia" w:ascii="Times New Roman" w:hAnsi="Times New Roman" w:eastAsia="方正仿宋_GBK" w:cs="方正仿宋_GBK"/>
          <w:color w:val="000000" w:themeColor="text1"/>
          <w:highlight w:val="none"/>
          <w:u w:val="none"/>
          <w:lang w:val="en-US" w:eastAsia="zh-CN"/>
        </w:rPr>
        <w:t>城市社区和农村社区居家养老服务覆盖率分别达90.2%和91.2%</w:t>
      </w:r>
      <w:r>
        <w:rPr>
          <w:rFonts w:hint="eastAsia" w:ascii="Times New Roman" w:hAnsi="Times New Roman" w:eastAsia="方正仿宋_GBK" w:cs="方正仿宋_GBK"/>
          <w:color w:val="000000" w:themeColor="text1"/>
          <w:highlight w:val="none"/>
          <w:u w:val="none"/>
          <w:lang w:eastAsia="zh-CN"/>
        </w:rPr>
        <w:t>，</w:t>
      </w:r>
      <w:r>
        <w:rPr>
          <w:rFonts w:hint="eastAsia" w:ascii="Times New Roman" w:hAnsi="Times New Roman" w:eastAsia="方正仿宋_GBK" w:cs="方正仿宋_GBK"/>
          <w:color w:val="000000" w:themeColor="text1"/>
          <w:highlight w:val="none"/>
          <w:u w:val="none"/>
        </w:rPr>
        <w:t>每千人口拥有3岁以下婴幼儿托位数达4.5个。</w:t>
      </w:r>
      <w:r>
        <w:rPr>
          <w:rFonts w:hint="eastAsia" w:ascii="Times New Roman" w:eastAsia="方正楷体_GBK" w:cs="方正楷体_GBK"/>
          <w:bCs/>
          <w:kern w:val="2"/>
          <w:highlight w:val="none"/>
        </w:rPr>
        <w:t>文体建设加快推进。</w:t>
      </w:r>
      <w:r>
        <w:rPr>
          <w:rFonts w:hint="eastAsia" w:ascii="方正仿宋_GBK" w:hAnsi="方正仿宋_GBK" w:eastAsia="方正仿宋_GBK" w:cs="方正仿宋_GBK"/>
          <w:highlight w:val="none"/>
          <w:lang w:val="en-US" w:eastAsia="zh-CN"/>
        </w:rPr>
        <w:t>沈鹏介居书院落户国乐岛，新增“艺风微书房”5家。市博物馆获评“国</w:t>
      </w:r>
      <w:r>
        <w:rPr>
          <w:rFonts w:hint="eastAsia" w:hAnsi="方正仿宋_GBK" w:cs="方正仿宋_GBK"/>
          <w:highlight w:val="none"/>
          <w:lang w:val="en-US" w:eastAsia="zh-CN"/>
        </w:rPr>
        <w:t>家</w:t>
      </w:r>
      <w:bookmarkStart w:id="4" w:name="_GoBack"/>
      <w:bookmarkEnd w:id="4"/>
      <w:r>
        <w:rPr>
          <w:rFonts w:hint="eastAsia" w:ascii="方正仿宋_GBK" w:hAnsi="方正仿宋_GBK" w:eastAsia="方正仿宋_GBK" w:cs="方正仿宋_GBK"/>
          <w:highlight w:val="none"/>
          <w:lang w:val="en-US" w:eastAsia="zh-CN"/>
        </w:rPr>
        <w:t>一级博物馆”，“澄艺快递”精准配送</w:t>
      </w:r>
      <w:r>
        <w:rPr>
          <w:rFonts w:hint="eastAsia" w:hAnsi="方正仿宋_GBK" w:cs="方正仿宋_GBK"/>
          <w:highlight w:val="none"/>
          <w:lang w:val="en-US" w:eastAsia="zh-CN"/>
        </w:rPr>
        <w:t>文化</w:t>
      </w:r>
      <w:r>
        <w:rPr>
          <w:rFonts w:hint="eastAsia" w:ascii="方正仿宋_GBK" w:hAnsi="方正仿宋_GBK" w:eastAsia="方正仿宋_GBK" w:cs="方正仿宋_GBK"/>
          <w:highlight w:val="none"/>
          <w:lang w:val="en-US" w:eastAsia="zh-CN"/>
        </w:rPr>
        <w:t>活动769场次。新增健身步道16.</w:t>
      </w:r>
      <w:r>
        <w:rPr>
          <w:rFonts w:hint="eastAsia" w:hAnsi="方正仿宋_GBK" w:cs="方正仿宋_GBK"/>
          <w:highlight w:val="none"/>
          <w:lang w:val="en-US" w:eastAsia="zh-CN"/>
        </w:rPr>
        <w:t>4</w:t>
      </w:r>
      <w:r>
        <w:rPr>
          <w:rFonts w:hint="eastAsia" w:ascii="方正仿宋_GBK" w:hAnsi="方正仿宋_GBK" w:eastAsia="方正仿宋_GBK" w:cs="方正仿宋_GBK"/>
          <w:highlight w:val="none"/>
          <w:lang w:val="en-US" w:eastAsia="zh-CN"/>
        </w:rPr>
        <w:t>公里，海澜飞马体育公园建成开园，成功举办</w:t>
      </w:r>
      <w:r>
        <w:rPr>
          <w:rFonts w:hint="eastAsia" w:ascii="Times New Roman" w:hAnsi="Times New Roman" w:eastAsia="方正仿宋_GBK" w:cs="方正仿宋_GBK"/>
          <w:color w:val="000000" w:themeColor="text1"/>
          <w:highlight w:val="none"/>
          <w:u w:val="none"/>
          <w:lang w:val="en-US" w:eastAsia="zh-CN"/>
        </w:rPr>
        <w:t>“澄马”“新马”</w:t>
      </w:r>
      <w:r>
        <w:rPr>
          <w:rFonts w:hint="eastAsia" w:ascii="方正仿宋_GBK" w:hAnsi="方正仿宋_GBK" w:eastAsia="方正仿宋_GBK" w:cs="方正仿宋_GBK"/>
          <w:highlight w:val="none"/>
          <w:lang w:val="en-US" w:eastAsia="zh-CN"/>
        </w:rPr>
        <w:t>2场半程马拉松赛事，承办国际武术邀请赛等省级以上体育竞赛37项次</w:t>
      </w:r>
      <w:r>
        <w:rPr>
          <w:rFonts w:hint="default" w:ascii="Times New Roman" w:hAnsi="Times New Roman" w:eastAsia="方正仿宋_GBK" w:cs="Times New Roman"/>
          <w:highlight w:val="none"/>
          <w:lang w:val="en-US" w:eastAsia="zh-CN"/>
        </w:rPr>
        <w:t>。</w:t>
      </w:r>
      <w:r>
        <w:rPr>
          <w:rFonts w:hint="eastAsia" w:ascii="Times New Roman" w:eastAsia="方正楷体_GBK" w:cs="方正楷体_GBK"/>
          <w:bCs/>
          <w:kern w:val="2"/>
          <w:highlight w:val="none"/>
        </w:rPr>
        <w:t>社会安全保持稳定。</w:t>
      </w:r>
      <w:r>
        <w:rPr>
          <w:rFonts w:hint="eastAsia" w:ascii="Times New Roman"/>
          <w:highlight w:val="none"/>
        </w:rPr>
        <w:t>深入开展治本攻坚三年行动，排查整治隐患11万余项，重大隐患535项。化解矛盾纠纷4.4万余起，矛盾纠纷化解率保持在95%以上。深入推进信访工作法治化，</w:t>
      </w:r>
      <w:r>
        <w:rPr>
          <w:rFonts w:hint="eastAsia" w:ascii="Times New Roman" w:cs="方正仿宋_GBK"/>
          <w:highlight w:val="none"/>
        </w:rPr>
        <w:t>深化开展党政领导干部“四访”活动，化解重点信访积案168件</w:t>
      </w:r>
      <w:r>
        <w:rPr>
          <w:rFonts w:ascii="Times New Roman" w:cs="方正仿宋_GBK"/>
          <w:highlight w:val="none"/>
        </w:rPr>
        <w:t>。</w:t>
      </w:r>
      <w:r>
        <w:rPr>
          <w:rFonts w:hint="eastAsia" w:ascii="Times New Roman"/>
          <w:highlight w:val="none"/>
        </w:rPr>
        <w:t>深化交通隐患排查整治，道路交通亡人事故起数、亡人数分别下降13.5%、12.5%。</w:t>
      </w:r>
    </w:p>
    <w:p w14:paraId="37964911">
      <w:pPr>
        <w:spacing w:line="580" w:lineRule="exact"/>
        <w:ind w:firstLine="604" w:firstLineChars="200"/>
        <w:rPr>
          <w:rFonts w:ascii="Times New Roman"/>
          <w:highlight w:val="none"/>
        </w:rPr>
      </w:pPr>
      <w:r>
        <w:rPr>
          <w:rFonts w:hint="eastAsia" w:ascii="Times New Roman"/>
          <w:highlight w:val="none"/>
        </w:rPr>
        <w:t>在</w:t>
      </w:r>
      <w:r>
        <w:rPr>
          <w:rFonts w:ascii="Times New Roman"/>
          <w:highlight w:val="none"/>
        </w:rPr>
        <w:t>肯定成绩的同时，我们也清醒看到面临的困难和挑战</w:t>
      </w:r>
      <w:r>
        <w:rPr>
          <w:rFonts w:hint="eastAsia" w:ascii="Times New Roman"/>
          <w:highlight w:val="none"/>
        </w:rPr>
        <w:t>：外部环境的复杂性、严峻性、不确定性上升，社会预期偏弱，</w:t>
      </w:r>
      <w:r>
        <w:rPr>
          <w:rFonts w:ascii="Times New Roman"/>
          <w:highlight w:val="none"/>
        </w:rPr>
        <w:t>经济平稳运行面临诸多挑战</w:t>
      </w:r>
      <w:r>
        <w:rPr>
          <w:rFonts w:hint="eastAsia" w:ascii="Times New Roman"/>
          <w:highlight w:val="none"/>
        </w:rPr>
        <w:t>；新技术、新经济、新业态有待加强，新质生产力、未来产业等新动能亟需加快培育；公共服务设施建设和社会</w:t>
      </w:r>
      <w:r>
        <w:rPr>
          <w:rFonts w:ascii="Times New Roman"/>
          <w:highlight w:val="none"/>
        </w:rPr>
        <w:t>民生</w:t>
      </w:r>
      <w:r>
        <w:rPr>
          <w:rFonts w:hint="eastAsia" w:ascii="Times New Roman"/>
          <w:highlight w:val="none"/>
        </w:rPr>
        <w:t>保障与群众需求还有差距，安全生产风险隐患不容忽视。为此，全市上下必须高度重视、直面问题、敢于挑战，在新起点上实现新突破。</w:t>
      </w:r>
    </w:p>
    <w:p w14:paraId="3CE2FED2">
      <w:pPr>
        <w:spacing w:line="580" w:lineRule="exact"/>
        <w:ind w:firstLine="604" w:firstLineChars="200"/>
        <w:rPr>
          <w:rFonts w:ascii="Times New Roman" w:eastAsia="方正黑体_GBK"/>
          <w:kern w:val="2"/>
          <w:highlight w:val="none"/>
        </w:rPr>
      </w:pPr>
      <w:r>
        <w:rPr>
          <w:rFonts w:hint="eastAsia" w:ascii="Times New Roman" w:eastAsia="方正黑体_GBK"/>
          <w:kern w:val="2"/>
          <w:highlight w:val="none"/>
        </w:rPr>
        <w:t>二、2025年国民经济和社会发展主要目标和任务</w:t>
      </w:r>
    </w:p>
    <w:p w14:paraId="6FE01782">
      <w:pPr>
        <w:spacing w:line="580" w:lineRule="exact"/>
        <w:ind w:firstLine="604" w:firstLineChars="200"/>
        <w:rPr>
          <w:rFonts w:ascii="Times New Roman" w:cs="方正仿宋_GBK"/>
          <w:kern w:val="2"/>
          <w:szCs w:val="24"/>
          <w:highlight w:val="none"/>
        </w:rPr>
      </w:pPr>
      <w:r>
        <w:rPr>
          <w:rFonts w:hint="eastAsia" w:ascii="Times New Roman"/>
          <w:highlight w:val="none"/>
        </w:rPr>
        <w:t>2025年，既是“十四五”的收官之年，也是“十五五”谋划的关键之年，</w:t>
      </w:r>
      <w:r>
        <w:rPr>
          <w:rFonts w:hint="eastAsia" w:ascii="Times New Roman" w:cs="方正仿宋_GBK"/>
          <w:kern w:val="2"/>
          <w:szCs w:val="24"/>
          <w:highlight w:val="none"/>
        </w:rPr>
        <w:t>做好经济社会发展各项工作意义重大。基于国内外形势、上级要求和我市实际情况，建议2025年主要目标安排如下：</w:t>
      </w:r>
    </w:p>
    <w:p w14:paraId="338E981E">
      <w:pPr>
        <w:spacing w:line="580" w:lineRule="exact"/>
        <w:ind w:firstLine="604" w:firstLineChars="200"/>
        <w:rPr>
          <w:rFonts w:ascii="Times New Roman"/>
          <w:kern w:val="2"/>
          <w:highlight w:val="none"/>
        </w:rPr>
      </w:pPr>
      <w:r>
        <w:rPr>
          <w:rFonts w:hint="eastAsia" w:ascii="Times New Roman"/>
          <w:kern w:val="2"/>
          <w:highlight w:val="none"/>
        </w:rPr>
        <w:t>（一）地区生产总值增长5%以上；</w:t>
      </w:r>
    </w:p>
    <w:p w14:paraId="54EDCA15">
      <w:pPr>
        <w:spacing w:line="580" w:lineRule="exact"/>
        <w:ind w:firstLine="604" w:firstLineChars="200"/>
        <w:rPr>
          <w:rFonts w:ascii="Times New Roman"/>
          <w:kern w:val="2"/>
          <w:highlight w:val="none"/>
        </w:rPr>
      </w:pPr>
      <w:r>
        <w:rPr>
          <w:rFonts w:hint="eastAsia" w:ascii="Times New Roman"/>
          <w:kern w:val="2"/>
          <w:highlight w:val="none"/>
        </w:rPr>
        <w:t>（二）一般公共预算收入增长2%</w:t>
      </w:r>
      <w:r>
        <w:rPr>
          <w:rFonts w:hint="eastAsia" w:ascii="Times New Roman" w:hAnsi="Times New Roman" w:eastAsia="方正仿宋_GBK" w:cs="Times New Roman"/>
          <w:color w:val="000000" w:themeColor="text1"/>
          <w:highlight w:val="none"/>
          <w:u w:val="none"/>
        </w:rPr>
        <w:t>左右</w:t>
      </w:r>
      <w:r>
        <w:rPr>
          <w:rFonts w:hint="eastAsia" w:ascii="Times New Roman"/>
          <w:kern w:val="2"/>
          <w:highlight w:val="none"/>
        </w:rPr>
        <w:t>；</w:t>
      </w:r>
    </w:p>
    <w:p w14:paraId="14386340">
      <w:pPr>
        <w:spacing w:line="580" w:lineRule="exact"/>
        <w:ind w:firstLine="604" w:firstLineChars="200"/>
        <w:rPr>
          <w:rFonts w:ascii="Times New Roman"/>
          <w:kern w:val="2"/>
          <w:highlight w:val="none"/>
        </w:rPr>
      </w:pPr>
      <w:r>
        <w:rPr>
          <w:rFonts w:hint="eastAsia" w:ascii="Times New Roman"/>
          <w:kern w:val="2"/>
          <w:highlight w:val="none"/>
        </w:rPr>
        <w:t>（三）规模以上工业增加值增长6%；</w:t>
      </w:r>
    </w:p>
    <w:p w14:paraId="21B6813C">
      <w:pPr>
        <w:spacing w:line="580" w:lineRule="exact"/>
        <w:ind w:firstLine="604" w:firstLineChars="200"/>
        <w:rPr>
          <w:rFonts w:ascii="Times New Roman"/>
          <w:kern w:val="2"/>
          <w:highlight w:val="none"/>
        </w:rPr>
      </w:pPr>
      <w:r>
        <w:rPr>
          <w:rFonts w:hint="eastAsia" w:ascii="Times New Roman"/>
          <w:kern w:val="2"/>
          <w:highlight w:val="none"/>
        </w:rPr>
        <w:t>（四）规上服务业营业收入增长7%；</w:t>
      </w:r>
    </w:p>
    <w:p w14:paraId="716B058A">
      <w:pPr>
        <w:spacing w:line="580" w:lineRule="exact"/>
        <w:ind w:firstLine="604" w:firstLineChars="200"/>
        <w:rPr>
          <w:rFonts w:ascii="Times New Roman"/>
          <w:kern w:val="2"/>
          <w:highlight w:val="none"/>
        </w:rPr>
      </w:pPr>
      <w:r>
        <w:rPr>
          <w:rFonts w:hint="eastAsia" w:ascii="Times New Roman"/>
          <w:kern w:val="2"/>
          <w:highlight w:val="none"/>
        </w:rPr>
        <w:t>（五）固定资产投资完成900亿元；</w:t>
      </w:r>
    </w:p>
    <w:p w14:paraId="0F099317">
      <w:pPr>
        <w:spacing w:line="580" w:lineRule="exact"/>
        <w:ind w:firstLine="604" w:firstLineChars="200"/>
        <w:rPr>
          <w:rFonts w:ascii="Times New Roman"/>
          <w:kern w:val="2"/>
          <w:highlight w:val="none"/>
        </w:rPr>
      </w:pPr>
      <w:r>
        <w:rPr>
          <w:rFonts w:hint="eastAsia" w:ascii="Times New Roman"/>
          <w:kern w:val="2"/>
          <w:highlight w:val="none"/>
        </w:rPr>
        <w:t>（六）社会消费品零售总额增长5%</w:t>
      </w:r>
      <w:r>
        <w:rPr>
          <w:rFonts w:hint="eastAsia" w:ascii="Times New Roman" w:hAnsi="Times New Roman" w:eastAsia="方正仿宋_GBK" w:cs="Times New Roman"/>
          <w:color w:val="000000" w:themeColor="text1"/>
          <w:highlight w:val="none"/>
          <w:u w:val="none"/>
        </w:rPr>
        <w:t>左右</w:t>
      </w:r>
      <w:r>
        <w:rPr>
          <w:rFonts w:hint="eastAsia" w:ascii="Times New Roman"/>
          <w:kern w:val="2"/>
          <w:highlight w:val="none"/>
        </w:rPr>
        <w:t>；</w:t>
      </w:r>
    </w:p>
    <w:p w14:paraId="2426EB96">
      <w:pPr>
        <w:spacing w:line="580" w:lineRule="exact"/>
        <w:ind w:firstLine="604" w:firstLineChars="200"/>
        <w:rPr>
          <w:rFonts w:ascii="Times New Roman"/>
          <w:kern w:val="2"/>
          <w:highlight w:val="none"/>
        </w:rPr>
      </w:pPr>
      <w:r>
        <w:rPr>
          <w:rFonts w:hint="eastAsia" w:ascii="Times New Roman"/>
          <w:kern w:val="2"/>
          <w:highlight w:val="none"/>
        </w:rPr>
        <w:t>（七）进出口总额稳中提质；</w:t>
      </w:r>
    </w:p>
    <w:p w14:paraId="70FE1056">
      <w:pPr>
        <w:spacing w:line="580" w:lineRule="exact"/>
        <w:ind w:firstLine="604" w:firstLineChars="200"/>
        <w:rPr>
          <w:rFonts w:ascii="Times New Roman"/>
          <w:kern w:val="2"/>
          <w:highlight w:val="none"/>
        </w:rPr>
      </w:pPr>
      <w:r>
        <w:rPr>
          <w:rFonts w:hint="eastAsia" w:ascii="Times New Roman"/>
          <w:kern w:val="2"/>
          <w:highlight w:val="none"/>
        </w:rPr>
        <w:t>（八）实际使用外资</w:t>
      </w:r>
      <w:r>
        <w:rPr>
          <w:rFonts w:hint="eastAsia" w:ascii="Times New Roman"/>
          <w:kern w:val="2"/>
          <w:highlight w:val="none"/>
          <w:lang w:val="en-US" w:eastAsia="zh-CN"/>
        </w:rPr>
        <w:t>超</w:t>
      </w:r>
      <w:r>
        <w:rPr>
          <w:rFonts w:hint="eastAsia" w:ascii="Times New Roman"/>
          <w:kern w:val="2"/>
          <w:highlight w:val="none"/>
        </w:rPr>
        <w:t>9.5亿美元；</w:t>
      </w:r>
    </w:p>
    <w:p w14:paraId="5F238EC2">
      <w:pPr>
        <w:spacing w:line="580" w:lineRule="exact"/>
        <w:ind w:firstLine="604" w:firstLineChars="200"/>
        <w:rPr>
          <w:rFonts w:ascii="Times New Roman"/>
          <w:kern w:val="2"/>
          <w:highlight w:val="none"/>
        </w:rPr>
      </w:pPr>
      <w:r>
        <w:rPr>
          <w:rFonts w:hint="eastAsia" w:ascii="Times New Roman"/>
          <w:kern w:val="2"/>
          <w:highlight w:val="none"/>
        </w:rPr>
        <w:t>（九）居民人均可支配收入增幅与经济增长基本同步；</w:t>
      </w:r>
    </w:p>
    <w:p w14:paraId="7D6B8DE4">
      <w:pPr>
        <w:spacing w:line="580" w:lineRule="exact"/>
        <w:ind w:firstLine="604" w:firstLineChars="200"/>
        <w:rPr>
          <w:rFonts w:ascii="Times New Roman"/>
          <w:kern w:val="2"/>
          <w:highlight w:val="none"/>
        </w:rPr>
      </w:pPr>
      <w:r>
        <w:rPr>
          <w:rFonts w:hint="eastAsia" w:ascii="Times New Roman"/>
          <w:kern w:val="2"/>
          <w:highlight w:val="none"/>
        </w:rPr>
        <w:t>（十）城镇新增就业人数2.6万人；</w:t>
      </w:r>
    </w:p>
    <w:p w14:paraId="083E12E7">
      <w:pPr>
        <w:spacing w:line="580" w:lineRule="exact"/>
        <w:ind w:firstLine="604" w:firstLineChars="200"/>
        <w:rPr>
          <w:rFonts w:ascii="Times New Roman"/>
          <w:kern w:val="2"/>
          <w:highlight w:val="none"/>
        </w:rPr>
      </w:pPr>
      <w:r>
        <w:rPr>
          <w:rFonts w:hint="eastAsia" w:ascii="Times New Roman"/>
          <w:kern w:val="2"/>
          <w:highlight w:val="none"/>
        </w:rPr>
        <w:t>（十一）单位GDP能耗下降完成上级下达的目标任务；</w:t>
      </w:r>
    </w:p>
    <w:p w14:paraId="535E7E52">
      <w:pPr>
        <w:spacing w:line="580" w:lineRule="exact"/>
        <w:ind w:firstLine="604" w:firstLineChars="200"/>
        <w:rPr>
          <w:rFonts w:ascii="Times New Roman"/>
          <w:kern w:val="2"/>
          <w:highlight w:val="none"/>
        </w:rPr>
      </w:pPr>
      <w:r>
        <w:rPr>
          <w:rFonts w:hint="eastAsia" w:ascii="Times New Roman"/>
          <w:kern w:val="2"/>
          <w:highlight w:val="none"/>
        </w:rPr>
        <w:t>（十二）化学需氧量、氨氮、挥发性有机物和氮氧化物等主要污染物减排量完成上级下达目标任务；</w:t>
      </w:r>
    </w:p>
    <w:p w14:paraId="5F91AA89">
      <w:pPr>
        <w:spacing w:line="580" w:lineRule="exact"/>
        <w:ind w:firstLine="604" w:firstLineChars="200"/>
        <w:rPr>
          <w:rFonts w:ascii="Times New Roman"/>
          <w:kern w:val="2"/>
          <w:highlight w:val="none"/>
        </w:rPr>
      </w:pPr>
      <w:r>
        <w:rPr>
          <w:rFonts w:hint="eastAsia" w:ascii="Times New Roman"/>
          <w:kern w:val="2"/>
          <w:highlight w:val="none"/>
        </w:rPr>
        <w:t>（十三）PM</w:t>
      </w:r>
      <w:r>
        <w:rPr>
          <w:rFonts w:hint="eastAsia" w:ascii="Times New Roman"/>
          <w:kern w:val="2"/>
          <w:highlight w:val="none"/>
          <w:vertAlign w:val="subscript"/>
        </w:rPr>
        <w:t>2.5</w:t>
      </w:r>
      <w:r>
        <w:rPr>
          <w:rFonts w:hint="eastAsia" w:ascii="Times New Roman"/>
          <w:kern w:val="2"/>
          <w:highlight w:val="none"/>
        </w:rPr>
        <w:t>年均浓度、空气质量优良天数比率、地表水达到或好于Ⅲ类水体比例完成上级下达的目标任务。</w:t>
      </w:r>
    </w:p>
    <w:p w14:paraId="622F37B3">
      <w:pPr>
        <w:spacing w:line="580" w:lineRule="exact"/>
        <w:ind w:firstLine="604" w:firstLineChars="200"/>
        <w:rPr>
          <w:rFonts w:ascii="Times New Roman"/>
          <w:kern w:val="2"/>
          <w:highlight w:val="none"/>
        </w:rPr>
      </w:pPr>
      <w:r>
        <w:rPr>
          <w:rFonts w:hint="eastAsia" w:ascii="Times New Roman"/>
          <w:kern w:val="2"/>
          <w:highlight w:val="none"/>
        </w:rPr>
        <w:t>为实现以上计划目标并全面推进国民经济和社会发展，2025年重点抓好以下几个方面工作：</w:t>
      </w:r>
    </w:p>
    <w:p w14:paraId="5F9A844B">
      <w:pPr>
        <w:widowControl/>
        <w:spacing w:line="580" w:lineRule="exact"/>
        <w:ind w:firstLine="616" w:firstLineChars="200"/>
        <w:jc w:val="left"/>
        <w:rPr>
          <w:rFonts w:ascii="Times New Roman" w:eastAsia="方正楷体_GBK" w:cs="仿宋"/>
          <w:bCs/>
          <w:spacing w:val="3"/>
          <w:kern w:val="2"/>
          <w:highlight w:val="none"/>
        </w:rPr>
      </w:pPr>
      <w:r>
        <w:rPr>
          <w:rFonts w:hint="eastAsia" w:ascii="Times New Roman" w:eastAsia="方正楷体_GBK" w:cs="仿宋"/>
          <w:b/>
          <w:spacing w:val="3"/>
          <w:kern w:val="2"/>
          <w:highlight w:val="none"/>
        </w:rPr>
        <w:t>（一）推动产业强链补链，持续扩大有效需求。</w:t>
      </w:r>
      <w:r>
        <w:rPr>
          <w:rFonts w:hint="eastAsia" w:ascii="Times New Roman" w:eastAsia="方正楷体_GBK" w:cs="仿宋"/>
          <w:bCs/>
          <w:spacing w:val="3"/>
          <w:kern w:val="2"/>
          <w:highlight w:val="none"/>
        </w:rPr>
        <w:t>推动产业转型提升。</w:t>
      </w:r>
      <w:r>
        <w:rPr>
          <w:rFonts w:hint="eastAsia" w:ascii="Times New Roman" w:cs="方正仿宋_GBK"/>
          <w:kern w:val="21"/>
          <w:highlight w:val="none"/>
        </w:rPr>
        <w:t>聚焦“345”现代产业集群，统筹推进传统产业焕新、新兴产业壮大、未来产业培育，引育一批产业链龙头企业和产业集群领军企业，建设具有全国影响力的先进制造业基地。</w:t>
      </w:r>
      <w:r>
        <w:rPr>
          <w:rFonts w:hint="eastAsia" w:ascii="Times New Roman"/>
          <w:highlight w:val="none"/>
        </w:rPr>
        <w:t>新认定无锡市级特色产业园区2家以上</w:t>
      </w:r>
      <w:r>
        <w:rPr>
          <w:rFonts w:hint="eastAsia" w:ascii="Times New Roman" w:cs="方正仿宋_GBK"/>
          <w:kern w:val="21"/>
          <w:highlight w:val="none"/>
        </w:rPr>
        <w:t>。</w:t>
      </w:r>
      <w:r>
        <w:rPr>
          <w:rFonts w:hint="eastAsia" w:ascii="Times New Roman" w:eastAsia="方正楷体_GBK" w:cs="仿宋"/>
          <w:bCs/>
          <w:spacing w:val="3"/>
          <w:kern w:val="2"/>
          <w:highlight w:val="none"/>
        </w:rPr>
        <w:t>提速实数融合发展</w:t>
      </w:r>
      <w:r>
        <w:rPr>
          <w:rFonts w:hint="eastAsia" w:ascii="Times New Roman"/>
          <w:highlight w:val="none"/>
        </w:rPr>
        <w:t>。加速实体经济与数字经济深度融合，</w:t>
      </w:r>
      <w:r>
        <w:rPr>
          <w:rFonts w:hint="eastAsia" w:ascii="Times New Roman" w:hAnsi="Times New Roman" w:eastAsia="方正仿宋_GBK" w:cs="方正仿宋_GBK"/>
          <w:color w:val="000000" w:themeColor="text1"/>
          <w:kern w:val="2"/>
          <w:szCs w:val="24"/>
          <w:highlight w:val="none"/>
          <w:u w:val="none"/>
          <w:lang w:val="en-US" w:eastAsia="zh-CN"/>
        </w:rPr>
        <w:t>力争数字经济核心产业规上企业营收达640亿元</w:t>
      </w:r>
      <w:r>
        <w:rPr>
          <w:rFonts w:hint="eastAsia" w:ascii="Times New Roman"/>
          <w:highlight w:val="none"/>
        </w:rPr>
        <w:t>。</w:t>
      </w:r>
      <w:r>
        <w:rPr>
          <w:rFonts w:hint="eastAsia" w:ascii="Times New Roman" w:hAnsi="Times New Roman" w:eastAsia="方正仿宋_GBK" w:cs="方正仿宋_GBK"/>
          <w:color w:val="000000" w:themeColor="text1"/>
          <w:kern w:val="2"/>
          <w:szCs w:val="24"/>
          <w:highlight w:val="none"/>
          <w:u w:val="none"/>
          <w:lang w:eastAsia="zh-CN"/>
        </w:rPr>
        <w:t>研究出台“算力券”支持政策，加快推进江阴智算中心、霞客湾科学城算力中心建设，夯实产业转型的算力支撑</w:t>
      </w:r>
      <w:r>
        <w:rPr>
          <w:rFonts w:hint="eastAsia" w:ascii="Times New Roman"/>
          <w:highlight w:val="none"/>
        </w:rPr>
        <w:t>。</w:t>
      </w:r>
      <w:r>
        <w:rPr>
          <w:rFonts w:hint="eastAsia" w:ascii="Times New Roman" w:eastAsia="方正楷体_GBK" w:cs="仿宋"/>
          <w:bCs/>
          <w:spacing w:val="3"/>
          <w:kern w:val="2"/>
          <w:highlight w:val="none"/>
        </w:rPr>
        <w:t>进一步强化项目招引。</w:t>
      </w:r>
      <w:r>
        <w:rPr>
          <w:rFonts w:hint="eastAsia" w:ascii="Times New Roman"/>
          <w:kern w:val="2"/>
          <w:highlight w:val="none"/>
        </w:rPr>
        <w:t>深化招商引资体制改革，通过探索场景招商、深化链式招商、开展资本招商等，</w:t>
      </w:r>
      <w:r>
        <w:rPr>
          <w:rFonts w:ascii="Times New Roman"/>
          <w:highlight w:val="none"/>
        </w:rPr>
        <w:t>全年招引落地10亿元以上项目18个、其中50亿元以上项目2个，力争100亿元以上项目取得突破</w:t>
      </w:r>
      <w:r>
        <w:rPr>
          <w:rFonts w:hint="eastAsia" w:ascii="Times New Roman"/>
          <w:kern w:val="2"/>
          <w:highlight w:val="none"/>
        </w:rPr>
        <w:t>。</w:t>
      </w:r>
      <w:r>
        <w:rPr>
          <w:rFonts w:hint="eastAsia" w:ascii="Times New Roman" w:eastAsia="方正楷体_GBK" w:cs="仿宋"/>
          <w:bCs/>
          <w:spacing w:val="3"/>
          <w:kern w:val="2"/>
          <w:highlight w:val="none"/>
        </w:rPr>
        <w:t>稳步扩大有效投资。</w:t>
      </w:r>
      <w:r>
        <w:rPr>
          <w:rFonts w:hint="eastAsia" w:ascii="Times New Roman" w:hAnsi="Times New Roman" w:eastAsia="方正仿宋_GBK" w:cs="方正仿宋_GBK"/>
          <w:color w:val="auto"/>
          <w:kern w:val="2"/>
          <w:sz w:val="32"/>
          <w:highlight w:val="none"/>
          <w:u w:val="none"/>
          <w:lang w:val="en-US" w:eastAsia="zh-CN"/>
        </w:rPr>
        <w:t>新</w:t>
      </w:r>
      <w:r>
        <w:rPr>
          <w:rFonts w:hint="eastAsia" w:ascii="Times New Roman" w:hAnsi="Times New Roman" w:eastAsia="方正仿宋_GBK" w:cs="方正仿宋_GBK"/>
          <w:color w:val="auto"/>
          <w:kern w:val="2"/>
          <w:sz w:val="32"/>
          <w:highlight w:val="none"/>
          <w:u w:val="none"/>
        </w:rPr>
        <w:t>开工长电先进封装等项目，</w:t>
      </w:r>
      <w:r>
        <w:rPr>
          <w:rFonts w:hint="eastAsia" w:ascii="Times New Roman" w:hAnsi="Times New Roman" w:eastAsia="方正仿宋_GBK" w:cs="方正仿宋_GBK"/>
          <w:color w:val="auto"/>
          <w:kern w:val="2"/>
          <w:sz w:val="32"/>
          <w:highlight w:val="none"/>
          <w:u w:val="none"/>
          <w:lang w:val="en-US" w:eastAsia="zh-CN"/>
        </w:rPr>
        <w:t>加快推进</w:t>
      </w:r>
      <w:r>
        <w:rPr>
          <w:rFonts w:hint="eastAsia" w:ascii="Times New Roman" w:hAnsi="Times New Roman" w:eastAsia="方正仿宋_GBK" w:cs="方正仿宋_GBK"/>
          <w:color w:val="auto"/>
          <w:kern w:val="2"/>
          <w:sz w:val="32"/>
          <w:highlight w:val="none"/>
          <w:u w:val="none"/>
        </w:rPr>
        <w:t>盛合晶微3D封装、扬子嘉盛清洁能源等项目</w:t>
      </w:r>
      <w:r>
        <w:rPr>
          <w:rFonts w:hint="eastAsia" w:ascii="Times New Roman" w:hAnsi="Times New Roman" w:eastAsia="方正仿宋_GBK" w:cs="方正仿宋_GBK"/>
          <w:color w:val="auto"/>
          <w:kern w:val="2"/>
          <w:sz w:val="32"/>
          <w:highlight w:val="none"/>
          <w:u w:val="none"/>
          <w:lang w:val="en-US" w:eastAsia="zh-CN"/>
        </w:rPr>
        <w:t>建设</w:t>
      </w:r>
      <w:r>
        <w:rPr>
          <w:rFonts w:hint="eastAsia" w:ascii="Times New Roman" w:hAnsi="Times New Roman" w:eastAsia="方正仿宋_GBK" w:cs="方正仿宋_GBK"/>
          <w:color w:val="auto"/>
          <w:kern w:val="2"/>
          <w:sz w:val="32"/>
          <w:highlight w:val="none"/>
          <w:u w:val="none"/>
        </w:rPr>
        <w:t>，</w:t>
      </w:r>
      <w:r>
        <w:rPr>
          <w:rFonts w:hint="eastAsia" w:ascii="Times New Roman" w:hAnsi="Times New Roman" w:eastAsia="方正仿宋_GBK" w:cs="方正仿宋_GBK"/>
          <w:color w:val="auto"/>
          <w:kern w:val="2"/>
          <w:sz w:val="32"/>
          <w:highlight w:val="none"/>
          <w:u w:val="none"/>
          <w:lang w:val="en-US" w:eastAsia="zh-CN"/>
        </w:rPr>
        <w:t>确保</w:t>
      </w:r>
      <w:r>
        <w:rPr>
          <w:rFonts w:hint="eastAsia" w:ascii="Times New Roman" w:hAnsi="Times New Roman" w:eastAsia="方正仿宋_GBK" w:cs="方正仿宋_GBK"/>
          <w:color w:val="auto"/>
          <w:kern w:val="2"/>
          <w:sz w:val="32"/>
          <w:highlight w:val="none"/>
          <w:u w:val="none"/>
        </w:rPr>
        <w:t>昕感硅基芯片、阿法拉伐扩能等项目竣工投产</w:t>
      </w:r>
      <w:r>
        <w:rPr>
          <w:rFonts w:hint="eastAsia" w:ascii="Times New Roman" w:hAnsi="Times New Roman" w:eastAsia="方正仿宋_GBK" w:cs="方正仿宋_GBK"/>
          <w:color w:val="auto"/>
          <w:kern w:val="2"/>
          <w:sz w:val="32"/>
          <w:highlight w:val="none"/>
          <w:u w:val="none"/>
          <w:lang w:eastAsia="zh-CN"/>
        </w:rPr>
        <w:t>，</w:t>
      </w:r>
      <w:r>
        <w:rPr>
          <w:rFonts w:hint="eastAsia" w:ascii="Times New Roman" w:hAnsi="Times New Roman" w:eastAsia="方正仿宋_GBK" w:cs="方正仿宋_GBK"/>
          <w:color w:val="000000" w:themeColor="text1"/>
          <w:kern w:val="2"/>
          <w:sz w:val="32"/>
          <w:highlight w:val="none"/>
          <w:u w:val="none"/>
          <w:lang w:val="en-US" w:eastAsia="zh-CN"/>
        </w:rPr>
        <w:t>全年</w:t>
      </w:r>
      <w:r>
        <w:rPr>
          <w:rFonts w:hint="eastAsia" w:ascii="Times New Roman" w:hAnsi="Times New Roman" w:eastAsia="方正仿宋_GBK" w:cs="方正仿宋_GBK"/>
          <w:color w:val="000000" w:themeColor="text1"/>
          <w:kern w:val="2"/>
          <w:sz w:val="32"/>
          <w:highlight w:val="none"/>
          <w:u w:val="none"/>
        </w:rPr>
        <w:t>新开工和竣工</w:t>
      </w:r>
      <w:r>
        <w:rPr>
          <w:rFonts w:hint="eastAsia" w:ascii="Times New Roman" w:hAnsi="Times New Roman" w:eastAsia="方正仿宋_GBK" w:cs="方正仿宋_GBK"/>
          <w:color w:val="000000" w:themeColor="text1"/>
          <w:kern w:val="2"/>
          <w:sz w:val="32"/>
          <w:highlight w:val="none"/>
          <w:u w:val="none"/>
          <w:lang w:val="en-US" w:eastAsia="zh-CN"/>
        </w:rPr>
        <w:t>超</w:t>
      </w:r>
      <w:r>
        <w:rPr>
          <w:rFonts w:hint="eastAsia" w:ascii="Times New Roman" w:hAnsi="Times New Roman" w:eastAsia="方正仿宋_GBK" w:cs="方正仿宋_GBK"/>
          <w:color w:val="000000" w:themeColor="text1"/>
          <w:kern w:val="2"/>
          <w:sz w:val="32"/>
          <w:highlight w:val="none"/>
          <w:u w:val="none"/>
        </w:rPr>
        <w:t>亿元重大产业项目各40个</w:t>
      </w:r>
      <w:r>
        <w:rPr>
          <w:rFonts w:hint="eastAsia" w:ascii="Times New Roman" w:hAnsi="Times New Roman" w:eastAsia="方正仿宋_GBK" w:cs="方正仿宋_GBK"/>
          <w:color w:val="000000" w:themeColor="text1"/>
          <w:kern w:val="2"/>
          <w:sz w:val="32"/>
          <w:highlight w:val="none"/>
          <w:u w:val="none"/>
          <w:lang w:val="en-US" w:eastAsia="zh-CN"/>
        </w:rPr>
        <w:t>以上</w:t>
      </w:r>
      <w:r>
        <w:rPr>
          <w:rFonts w:hint="eastAsia" w:ascii="Times New Roman" w:hAnsi="Times New Roman" w:eastAsia="方正仿宋_GBK" w:cs="方正仿宋_GBK"/>
          <w:color w:val="000000" w:themeColor="text1"/>
          <w:kern w:val="2"/>
          <w:sz w:val="32"/>
          <w:highlight w:val="none"/>
          <w:u w:val="none"/>
        </w:rPr>
        <w:t>。</w:t>
      </w:r>
      <w:r>
        <w:rPr>
          <w:rFonts w:hint="eastAsia" w:ascii="Times New Roman" w:hAnsi="Times New Roman" w:eastAsia="方正仿宋_GBK" w:cs="方正仿宋_GBK"/>
          <w:color w:val="000000" w:themeColor="text1"/>
          <w:kern w:val="2"/>
          <w:highlight w:val="none"/>
          <w:u w:val="none"/>
          <w:lang w:val="en-US" w:eastAsia="zh-CN"/>
        </w:rPr>
        <w:t>引导社会资本参与新型基础设施、城市更新等领域建设，让民间</w:t>
      </w:r>
      <w:r>
        <w:rPr>
          <w:rFonts w:hint="eastAsia" w:ascii="Times New Roman" w:cs="方正仿宋_GBK"/>
          <w:color w:val="000000" w:themeColor="text1"/>
          <w:kern w:val="2"/>
          <w:highlight w:val="none"/>
          <w:u w:val="none"/>
          <w:lang w:val="en-US" w:eastAsia="zh-CN"/>
        </w:rPr>
        <w:t>资本</w:t>
      </w:r>
      <w:r>
        <w:rPr>
          <w:rFonts w:hint="eastAsia" w:ascii="Times New Roman" w:hAnsi="Times New Roman" w:eastAsia="方正仿宋_GBK" w:cs="方正仿宋_GBK"/>
          <w:color w:val="000000" w:themeColor="text1"/>
          <w:kern w:val="2"/>
          <w:highlight w:val="none"/>
          <w:u w:val="none"/>
          <w:lang w:val="en-US" w:eastAsia="zh-CN"/>
        </w:rPr>
        <w:t>“安心投、有的投、投得好”。</w:t>
      </w:r>
      <w:r>
        <w:rPr>
          <w:rFonts w:hint="eastAsia" w:ascii="Times New Roman" w:eastAsia="方正楷体_GBK" w:cs="仿宋"/>
          <w:bCs/>
          <w:spacing w:val="3"/>
          <w:kern w:val="2"/>
          <w:highlight w:val="none"/>
        </w:rPr>
        <w:t>多措并举提振消费。</w:t>
      </w:r>
      <w:r>
        <w:rPr>
          <w:rFonts w:hint="eastAsia" w:ascii="Times New Roman" w:hAnsi="Times New Roman" w:eastAsia="方正仿宋_GBK" w:cs="方正仿宋_GBK"/>
          <w:color w:val="000000" w:themeColor="text1"/>
          <w:kern w:val="2"/>
          <w:highlight w:val="none"/>
          <w:u w:val="none"/>
          <w:lang w:val="en-US" w:eastAsia="zh-CN"/>
        </w:rPr>
        <w:t>用足用好“两新”政策，优化消费补贴方式，推动汽车、家电家居等销售持续增长。</w:t>
      </w:r>
      <w:r>
        <w:rPr>
          <w:rFonts w:hint="eastAsia" w:ascii="Times New Roman"/>
          <w:kern w:val="0"/>
          <w:highlight w:val="none"/>
        </w:rPr>
        <w:t>鼓励主要商业综合体加大力度招引各类高品质首店品牌，丰富消费供给。围绕</w:t>
      </w:r>
      <w:r>
        <w:rPr>
          <w:rFonts w:hint="eastAsia" w:ascii="Times New Roman"/>
          <w:highlight w:val="none"/>
        </w:rPr>
        <w:t>国乐岛、海澜飞马公园等新建项目，创新打造文体旅融合消费新场景。</w:t>
      </w:r>
      <w:r>
        <w:rPr>
          <w:rFonts w:hint="eastAsia" w:ascii="Times New Roman" w:hAnsi="Times New Roman" w:eastAsia="方正仿宋_GBK" w:cs="方正仿宋_GBK"/>
          <w:color w:val="000000" w:themeColor="text1"/>
          <w:kern w:val="2"/>
          <w:highlight w:val="none"/>
          <w:u w:val="none"/>
          <w:lang w:eastAsia="zh-CN"/>
        </w:rPr>
        <w:t>优化实施房地产“澄八条”，统筹推进存量房去化和优质商品房供给，</w:t>
      </w:r>
      <w:r>
        <w:rPr>
          <w:rFonts w:hint="eastAsia" w:ascii="Times New Roman" w:hAnsi="Times New Roman" w:eastAsia="方正仿宋_GBK" w:cs="方正仿宋_GBK"/>
          <w:color w:val="000000" w:themeColor="text1"/>
          <w:kern w:val="2"/>
          <w:highlight w:val="none"/>
          <w:u w:val="none"/>
          <w:lang w:val="en-US" w:eastAsia="zh-CN"/>
        </w:rPr>
        <w:t>促进</w:t>
      </w:r>
      <w:r>
        <w:rPr>
          <w:rFonts w:hint="eastAsia" w:ascii="Times New Roman" w:hAnsi="Times New Roman" w:eastAsia="方正仿宋_GBK" w:cs="方正仿宋_GBK"/>
          <w:color w:val="000000" w:themeColor="text1"/>
          <w:kern w:val="2"/>
          <w:highlight w:val="none"/>
          <w:u w:val="none"/>
          <w:lang w:eastAsia="zh-CN"/>
        </w:rPr>
        <w:t>市场回稳向好。</w:t>
      </w:r>
    </w:p>
    <w:p w14:paraId="49EC0B12">
      <w:pPr>
        <w:overflowPunct w:val="0"/>
        <w:spacing w:line="580" w:lineRule="exact"/>
        <w:ind w:firstLine="616" w:firstLineChars="200"/>
        <w:rPr>
          <w:rFonts w:ascii="Times New Roman"/>
          <w:highlight w:val="none"/>
        </w:rPr>
      </w:pPr>
      <w:r>
        <w:rPr>
          <w:rFonts w:hint="eastAsia" w:ascii="Times New Roman" w:eastAsia="方正楷体_GBK" w:cs="仿宋"/>
          <w:b/>
          <w:spacing w:val="3"/>
          <w:kern w:val="2"/>
          <w:highlight w:val="none"/>
        </w:rPr>
        <w:t>（二）强化创新引领支撑，加快培育新兴动能。</w:t>
      </w:r>
      <w:r>
        <w:rPr>
          <w:rFonts w:hint="eastAsia" w:ascii="Times New Roman" w:eastAsia="方正楷体_GBK" w:cs="仿宋"/>
          <w:bCs/>
          <w:spacing w:val="3"/>
          <w:kern w:val="2"/>
          <w:highlight w:val="none"/>
        </w:rPr>
        <w:t>增强企业创新能力。</w:t>
      </w:r>
      <w:r>
        <w:rPr>
          <w:rFonts w:hint="eastAsia" w:ascii="Times New Roman"/>
          <w:highlight w:val="none"/>
        </w:rPr>
        <w:t>鼓励企业积极申报</w:t>
      </w:r>
      <w:r>
        <w:rPr>
          <w:rFonts w:ascii="Times New Roman"/>
          <w:kern w:val="2"/>
          <w:highlight w:val="none"/>
        </w:rPr>
        <w:t>高新技术企业</w:t>
      </w:r>
      <w:r>
        <w:rPr>
          <w:rFonts w:hint="eastAsia" w:ascii="Times New Roman"/>
          <w:kern w:val="2"/>
          <w:highlight w:val="none"/>
        </w:rPr>
        <w:t>，全年</w:t>
      </w:r>
      <w:r>
        <w:rPr>
          <w:rFonts w:hint="eastAsia" w:ascii="Times New Roman" w:hAnsi="Times New Roman" w:eastAsia="方正仿宋_GBK" w:cs="方正仿宋_GBK"/>
          <w:color w:val="000000" w:themeColor="text1"/>
          <w:kern w:val="2"/>
          <w:szCs w:val="24"/>
          <w:highlight w:val="none"/>
          <w:u w:val="none"/>
        </w:rPr>
        <w:t>申报高新</w:t>
      </w:r>
      <w:r>
        <w:rPr>
          <w:rFonts w:hint="eastAsia" w:ascii="Times New Roman" w:hAnsi="Times New Roman" w:eastAsia="方正仿宋_GBK" w:cs="方正仿宋_GBK"/>
          <w:color w:val="000000" w:themeColor="text1"/>
          <w:kern w:val="2"/>
          <w:highlight w:val="none"/>
          <w:u w:val="none"/>
        </w:rPr>
        <w:t>技术企业超</w:t>
      </w:r>
      <w:r>
        <w:rPr>
          <w:rFonts w:hint="eastAsia" w:ascii="Times New Roman" w:hAnsi="Times New Roman" w:eastAsia="方正仿宋_GBK" w:cs="方正仿宋_GBK"/>
          <w:color w:val="000000" w:themeColor="text1"/>
          <w:kern w:val="2"/>
          <w:highlight w:val="none"/>
          <w:u w:val="none"/>
          <w:lang w:val="en-US" w:eastAsia="zh-CN"/>
        </w:rPr>
        <w:t>520</w:t>
      </w:r>
      <w:r>
        <w:rPr>
          <w:rFonts w:hint="eastAsia" w:ascii="Times New Roman" w:hAnsi="Times New Roman" w:eastAsia="方正仿宋_GBK" w:cs="方正仿宋_GBK"/>
          <w:color w:val="000000" w:themeColor="text1"/>
          <w:kern w:val="2"/>
          <w:highlight w:val="none"/>
          <w:u w:val="none"/>
        </w:rPr>
        <w:t>家，招引科技型企业</w:t>
      </w:r>
      <w:r>
        <w:rPr>
          <w:rFonts w:hint="eastAsia" w:ascii="Times New Roman" w:hAnsi="Times New Roman" w:eastAsia="方正仿宋_GBK" w:cs="方正仿宋_GBK"/>
          <w:color w:val="000000" w:themeColor="text1"/>
          <w:kern w:val="2"/>
          <w:highlight w:val="none"/>
          <w:u w:val="none"/>
          <w:lang w:val="en-US" w:eastAsia="zh-CN"/>
        </w:rPr>
        <w:t>1600</w:t>
      </w:r>
      <w:r>
        <w:rPr>
          <w:rFonts w:hint="eastAsia" w:ascii="Times New Roman" w:hAnsi="Times New Roman" w:eastAsia="方正仿宋_GBK" w:cs="方正仿宋_GBK"/>
          <w:color w:val="000000" w:themeColor="text1"/>
          <w:kern w:val="2"/>
          <w:highlight w:val="none"/>
          <w:u w:val="none"/>
        </w:rPr>
        <w:t>家</w:t>
      </w:r>
      <w:r>
        <w:rPr>
          <w:rFonts w:hint="eastAsia" w:ascii="Times New Roman" w:hAnsi="Times New Roman" w:eastAsia="方正仿宋_GBK" w:cs="方正仿宋_GBK"/>
          <w:color w:val="000000" w:themeColor="text1"/>
          <w:kern w:val="2"/>
          <w:highlight w:val="none"/>
          <w:u w:val="none"/>
          <w:lang w:eastAsia="zh-CN"/>
        </w:rPr>
        <w:t>，</w:t>
      </w:r>
      <w:r>
        <w:rPr>
          <w:rFonts w:hint="eastAsia" w:ascii="Times New Roman" w:hAnsi="Times New Roman" w:eastAsia="方正仿宋_GBK" w:cs="方正仿宋_GBK"/>
          <w:color w:val="000000" w:themeColor="text1"/>
          <w:kern w:val="2"/>
          <w:highlight w:val="none"/>
          <w:u w:val="none"/>
        </w:rPr>
        <w:t>入库科技型中小企业</w:t>
      </w:r>
      <w:r>
        <w:rPr>
          <w:rFonts w:hint="eastAsia" w:ascii="Times New Roman" w:hAnsi="Times New Roman" w:eastAsia="方正仿宋_GBK" w:cs="方正仿宋_GBK"/>
          <w:color w:val="000000" w:themeColor="text1"/>
          <w:kern w:val="2"/>
          <w:highlight w:val="none"/>
          <w:u w:val="none"/>
          <w:lang w:val="en-US" w:eastAsia="zh-CN"/>
        </w:rPr>
        <w:t>2400</w:t>
      </w:r>
      <w:r>
        <w:rPr>
          <w:rFonts w:hint="eastAsia" w:ascii="Times New Roman" w:hAnsi="Times New Roman" w:eastAsia="方正仿宋_GBK" w:cs="方正仿宋_GBK"/>
          <w:color w:val="000000" w:themeColor="text1"/>
          <w:kern w:val="2"/>
          <w:highlight w:val="none"/>
          <w:u w:val="none"/>
        </w:rPr>
        <w:t>家</w:t>
      </w:r>
      <w:r>
        <w:rPr>
          <w:rFonts w:hint="eastAsia" w:ascii="Times New Roman"/>
          <w:kern w:val="2"/>
          <w:highlight w:val="none"/>
        </w:rPr>
        <w:t>。</w:t>
      </w:r>
      <w:r>
        <w:rPr>
          <w:rFonts w:hint="eastAsia" w:ascii="Times New Roman"/>
          <w:highlight w:val="none"/>
        </w:rPr>
        <w:t>深化产学研合作</w:t>
      </w:r>
      <w:r>
        <w:rPr>
          <w:rFonts w:hint="eastAsia" w:ascii="Times New Roman"/>
          <w:highlight w:val="none"/>
          <w:lang w:eastAsia="zh-CN"/>
        </w:rPr>
        <w:t>，</w:t>
      </w:r>
      <w:r>
        <w:rPr>
          <w:rFonts w:hint="eastAsia" w:ascii="Times New Roman"/>
          <w:highlight w:val="none"/>
        </w:rPr>
        <w:t>开展产学研活动超20场</w:t>
      </w:r>
      <w:r>
        <w:rPr>
          <w:rFonts w:hint="eastAsia" w:ascii="Times New Roman"/>
          <w:highlight w:val="none"/>
          <w:lang w:eastAsia="zh-CN"/>
        </w:rPr>
        <w:t>，</w:t>
      </w:r>
      <w:r>
        <w:rPr>
          <w:rFonts w:hint="eastAsia" w:ascii="Times New Roman"/>
          <w:highlight w:val="none"/>
        </w:rPr>
        <w:t>达成合作项目100项</w:t>
      </w:r>
      <w:r>
        <w:rPr>
          <w:rFonts w:hint="eastAsia" w:ascii="Times New Roman"/>
          <w:highlight w:val="none"/>
          <w:lang w:eastAsia="zh-CN"/>
        </w:rPr>
        <w:t>，</w:t>
      </w:r>
      <w:r>
        <w:rPr>
          <w:rFonts w:hint="eastAsia" w:ascii="Times New Roman"/>
          <w:highlight w:val="none"/>
        </w:rPr>
        <w:t>完成技术合同成交额100亿元。引导企业加强研发创新，争创省级企业技术中心10家以上，通过首台（套）重大装备认定2个以上</w:t>
      </w:r>
      <w:r>
        <w:rPr>
          <w:rFonts w:hint="eastAsia" w:ascii="Times New Roman" w:cs="方正仿宋_GBK"/>
          <w:kern w:val="21"/>
          <w:highlight w:val="none"/>
        </w:rPr>
        <w:t>。</w:t>
      </w:r>
      <w:r>
        <w:rPr>
          <w:rFonts w:hint="eastAsia" w:ascii="Times New Roman"/>
          <w:highlight w:val="none"/>
        </w:rPr>
        <w:t>持续高位推进标准化战略，主导和参与制修订各级各类标准80项以上。</w:t>
      </w:r>
      <w:r>
        <w:rPr>
          <w:rFonts w:hint="eastAsia" w:ascii="Times New Roman" w:eastAsia="方正楷体_GBK" w:cs="仿宋"/>
          <w:bCs/>
          <w:spacing w:val="3"/>
          <w:kern w:val="2"/>
          <w:highlight w:val="none"/>
        </w:rPr>
        <w:t>着力打造创新平台。</w:t>
      </w:r>
      <w:r>
        <w:rPr>
          <w:rFonts w:hint="eastAsia" w:ascii="Times New Roman" w:hAnsi="Times New Roman" w:eastAsia="方正仿宋_GBK" w:cs="方正仿宋_GBK"/>
          <w:color w:val="000000" w:themeColor="text1"/>
          <w:kern w:val="2"/>
          <w:highlight w:val="none"/>
          <w:u w:val="none"/>
        </w:rPr>
        <w:t>建成投用科创载体</w:t>
      </w:r>
      <w:r>
        <w:rPr>
          <w:rFonts w:hint="eastAsia" w:ascii="Times New Roman" w:hAnsi="Times New Roman" w:eastAsia="方正仿宋_GBK" w:cs="方正仿宋_GBK"/>
          <w:color w:val="000000" w:themeColor="text1"/>
          <w:kern w:val="2"/>
          <w:highlight w:val="none"/>
          <w:u w:val="none"/>
          <w:lang w:val="en-US" w:eastAsia="zh-CN"/>
        </w:rPr>
        <w:t>超60</w:t>
      </w:r>
      <w:r>
        <w:rPr>
          <w:rFonts w:hint="eastAsia" w:ascii="Times New Roman" w:hAnsi="Times New Roman" w:eastAsia="方正仿宋_GBK" w:cs="方正仿宋_GBK"/>
          <w:color w:val="000000" w:themeColor="text1"/>
          <w:kern w:val="2"/>
          <w:highlight w:val="none"/>
          <w:u w:val="none"/>
        </w:rPr>
        <w:t>万平方米</w:t>
      </w:r>
      <w:r>
        <w:rPr>
          <w:rFonts w:hint="eastAsia" w:ascii="Times New Roman" w:hAnsi="Times New Roman" w:eastAsia="方正仿宋_GBK" w:cs="方正仿宋_GBK"/>
          <w:color w:val="000000" w:themeColor="text1"/>
          <w:kern w:val="2"/>
          <w:highlight w:val="none"/>
          <w:u w:val="none"/>
          <w:lang w:eastAsia="zh-CN"/>
        </w:rPr>
        <w:t>，</w:t>
      </w:r>
      <w:r>
        <w:rPr>
          <w:rFonts w:hint="eastAsia" w:ascii="Times New Roman" w:hAnsi="Times New Roman" w:eastAsia="方正仿宋_GBK" w:cs="方正仿宋_GBK"/>
          <w:color w:val="000000" w:themeColor="text1"/>
          <w:kern w:val="2"/>
          <w:highlight w:val="none"/>
          <w:u w:val="none"/>
          <w:lang w:val="en-US" w:eastAsia="zh-CN"/>
        </w:rPr>
        <w:t>推动</w:t>
      </w:r>
      <w:r>
        <w:rPr>
          <w:rFonts w:hint="eastAsia" w:ascii="Times New Roman" w:hAnsi="Times New Roman" w:eastAsia="方正仿宋_GBK" w:cs="方正仿宋_GBK"/>
          <w:color w:val="000000" w:themeColor="text1"/>
          <w:kern w:val="2"/>
          <w:szCs w:val="24"/>
          <w:highlight w:val="none"/>
          <w:u w:val="none"/>
          <w:lang w:val="en-US" w:eastAsia="zh-CN"/>
        </w:rPr>
        <w:t>南理工、江南大学国家大学科技园建设，</w:t>
      </w:r>
      <w:r>
        <w:rPr>
          <w:rFonts w:hint="eastAsia" w:ascii="Times New Roman" w:hAnsi="Times New Roman" w:eastAsia="方正仿宋_GBK" w:cs="方正仿宋_GBK"/>
          <w:color w:val="000000" w:themeColor="text1"/>
          <w:kern w:val="2"/>
          <w:highlight w:val="none"/>
          <w:u w:val="none"/>
          <w:lang w:val="en-US" w:eastAsia="zh-CN"/>
        </w:rPr>
        <w:t>支持</w:t>
      </w:r>
      <w:r>
        <w:rPr>
          <w:rFonts w:hint="eastAsia" w:ascii="Times New Roman" w:hAnsi="Times New Roman" w:eastAsia="方正仿宋_GBK" w:cs="方正仿宋_GBK"/>
          <w:color w:val="000000" w:themeColor="text1"/>
          <w:kern w:val="2"/>
          <w:highlight w:val="none"/>
          <w:u w:val="none"/>
        </w:rPr>
        <w:t>兴澄特钢轴承钢等3家省重点实验室重组，</w:t>
      </w:r>
      <w:r>
        <w:rPr>
          <w:rFonts w:hint="eastAsia" w:ascii="Times New Roman" w:cs="方正仿宋_GBK"/>
          <w:color w:val="000000" w:themeColor="text1"/>
          <w:kern w:val="2"/>
          <w:highlight w:val="none"/>
          <w:u w:val="none"/>
          <w:lang w:val="en-US" w:eastAsia="zh-CN"/>
        </w:rPr>
        <w:t>推动</w:t>
      </w:r>
      <w:r>
        <w:rPr>
          <w:rFonts w:hint="eastAsia" w:ascii="Times New Roman" w:hAnsi="Times New Roman" w:eastAsia="方正仿宋_GBK" w:cs="方正仿宋_GBK"/>
          <w:color w:val="000000" w:themeColor="text1"/>
          <w:kern w:val="2"/>
          <w:highlight w:val="none"/>
          <w:u w:val="none"/>
        </w:rPr>
        <w:t>清华大学精密光电研发中心实质化运</w:t>
      </w:r>
      <w:r>
        <w:rPr>
          <w:rFonts w:hint="eastAsia" w:ascii="Times New Roman" w:hAnsi="Times New Roman" w:eastAsia="方正仿宋_GBK" w:cs="方正仿宋_GBK"/>
          <w:color w:val="000000" w:themeColor="text1"/>
          <w:kern w:val="2"/>
          <w:highlight w:val="none"/>
          <w:u w:val="none"/>
          <w:lang w:val="en-US" w:eastAsia="zh-CN"/>
        </w:rPr>
        <w:t>作</w:t>
      </w:r>
      <w:r>
        <w:rPr>
          <w:rFonts w:hint="eastAsia" w:ascii="Times New Roman" w:cs="方正仿宋_GBK"/>
          <w:color w:val="000000" w:themeColor="text1"/>
          <w:kern w:val="2"/>
          <w:highlight w:val="none"/>
          <w:u w:val="none"/>
          <w:lang w:eastAsia="zh-CN"/>
        </w:rPr>
        <w:t>、</w:t>
      </w:r>
      <w:r>
        <w:rPr>
          <w:rFonts w:hint="eastAsia" w:ascii="Times New Roman" w:hAnsi="Times New Roman" w:eastAsia="方正仿宋_GBK" w:cs="方正仿宋_GBK"/>
          <w:color w:val="000000" w:themeColor="text1"/>
          <w:kern w:val="2"/>
          <w:highlight w:val="none"/>
          <w:u w:val="none"/>
        </w:rPr>
        <w:t>武汉大学</w:t>
      </w:r>
      <w:r>
        <w:rPr>
          <w:rFonts w:hint="eastAsia" w:ascii="Times New Roman" w:hAnsi="Times New Roman" w:eastAsia="方正仿宋_GBK" w:cs="方正仿宋_GBK"/>
          <w:color w:val="000000" w:themeColor="text1"/>
          <w:kern w:val="2"/>
          <w:highlight w:val="none"/>
          <w:u w:val="none"/>
          <w:lang w:eastAsia="zh-CN"/>
        </w:rPr>
        <w:t>长三</w:t>
      </w:r>
      <w:r>
        <w:rPr>
          <w:rFonts w:hint="eastAsia" w:ascii="Times New Roman" w:hAnsi="Times New Roman" w:eastAsia="方正仿宋_GBK" w:cs="方正仿宋_GBK"/>
          <w:color w:val="000000" w:themeColor="text1"/>
          <w:kern w:val="2"/>
          <w:highlight w:val="none"/>
          <w:u w:val="none"/>
          <w:lang w:val="en-US" w:eastAsia="zh-CN"/>
        </w:rPr>
        <w:t>角科技创新中心建设省概念验证中心，新增无锡市级以上科创平台100个</w:t>
      </w:r>
      <w:r>
        <w:rPr>
          <w:rFonts w:hint="eastAsia" w:ascii="Times New Roman" w:cs="方正仿宋_GBK"/>
          <w:color w:val="000000" w:themeColor="text1"/>
          <w:kern w:val="2"/>
          <w:highlight w:val="none"/>
          <w:u w:val="none"/>
          <w:lang w:val="en-US" w:eastAsia="zh-CN"/>
        </w:rPr>
        <w:t>。</w:t>
      </w:r>
      <w:r>
        <w:rPr>
          <w:rFonts w:hint="eastAsia" w:ascii="Times New Roman" w:eastAsia="方正楷体_GBK" w:cs="仿宋"/>
          <w:bCs/>
          <w:spacing w:val="3"/>
          <w:kern w:val="2"/>
          <w:highlight w:val="none"/>
        </w:rPr>
        <w:t>培育优质创新生态。</w:t>
      </w:r>
      <w:r>
        <w:rPr>
          <w:rFonts w:hint="eastAsia" w:ascii="Times New Roman" w:hAnsi="Times New Roman" w:eastAsia="方正仿宋_GBK" w:cs="方正仿宋_GBK"/>
          <w:color w:val="000000" w:themeColor="text1"/>
          <w:kern w:val="2"/>
          <w:szCs w:val="24"/>
          <w:highlight w:val="none"/>
          <w:u w:val="none"/>
          <w:lang w:eastAsia="zh-CN"/>
        </w:rPr>
        <w:t>优化“暨阳英才计划”</w:t>
      </w:r>
      <w:r>
        <w:rPr>
          <w:rFonts w:hint="eastAsia" w:ascii="Times New Roman"/>
          <w:kern w:val="2"/>
          <w:highlight w:val="none"/>
        </w:rPr>
        <w:t>，</w:t>
      </w:r>
      <w:r>
        <w:rPr>
          <w:rFonts w:hint="eastAsia" w:ascii="Times New Roman" w:hAnsi="Times New Roman" w:eastAsia="方正仿宋_GBK" w:cs="方正仿宋_GBK"/>
          <w:color w:val="000000" w:themeColor="text1"/>
          <w:kern w:val="2"/>
          <w:szCs w:val="24"/>
          <w:highlight w:val="none"/>
          <w:u w:val="none"/>
          <w:lang w:eastAsia="zh-CN"/>
        </w:rPr>
        <w:t>引进创新创业领军人才项目</w:t>
      </w:r>
      <w:r>
        <w:rPr>
          <w:rFonts w:hint="eastAsia" w:ascii="Times New Roman" w:hAnsi="Times New Roman" w:eastAsia="方正仿宋_GBK" w:cs="方正仿宋_GBK"/>
          <w:color w:val="000000" w:themeColor="text1"/>
          <w:kern w:val="2"/>
          <w:szCs w:val="24"/>
          <w:highlight w:val="none"/>
          <w:u w:val="none"/>
          <w:lang w:val="en-US" w:eastAsia="zh-CN"/>
        </w:rPr>
        <w:t>100</w:t>
      </w:r>
      <w:r>
        <w:rPr>
          <w:rFonts w:hint="eastAsia" w:ascii="Times New Roman" w:hAnsi="Times New Roman" w:eastAsia="方正仿宋_GBK" w:cs="方正仿宋_GBK"/>
          <w:color w:val="000000" w:themeColor="text1"/>
          <w:kern w:val="2"/>
          <w:szCs w:val="24"/>
          <w:highlight w:val="none"/>
          <w:u w:val="none"/>
          <w:lang w:eastAsia="zh-CN"/>
        </w:rPr>
        <w:t>个、大学生</w:t>
      </w:r>
      <w:r>
        <w:rPr>
          <w:rFonts w:hint="eastAsia" w:ascii="Times New Roman" w:hAnsi="Times New Roman" w:eastAsia="方正仿宋_GBK" w:cs="方正仿宋_GBK"/>
          <w:color w:val="000000" w:themeColor="text1"/>
          <w:kern w:val="2"/>
          <w:szCs w:val="24"/>
          <w:highlight w:val="none"/>
          <w:u w:val="none"/>
          <w:lang w:val="en-US" w:eastAsia="zh-CN"/>
        </w:rPr>
        <w:t>1.6</w:t>
      </w:r>
      <w:r>
        <w:rPr>
          <w:rFonts w:hint="eastAsia" w:ascii="Times New Roman" w:hAnsi="Times New Roman" w:eastAsia="方正仿宋_GBK" w:cs="方正仿宋_GBK"/>
          <w:color w:val="000000" w:themeColor="text1"/>
          <w:kern w:val="2"/>
          <w:szCs w:val="24"/>
          <w:highlight w:val="none"/>
          <w:u w:val="none"/>
          <w:lang w:eastAsia="zh-CN"/>
        </w:rPr>
        <w:t>万人，</w:t>
      </w:r>
      <w:r>
        <w:rPr>
          <w:rFonts w:hint="eastAsia" w:ascii="Times New Roman" w:hAnsi="Times New Roman" w:eastAsia="方正仿宋_GBK" w:cs="方正仿宋_GBK"/>
          <w:color w:val="000000" w:themeColor="text1"/>
          <w:kern w:val="2"/>
          <w:szCs w:val="24"/>
          <w:highlight w:val="none"/>
          <w:u w:val="none"/>
          <w:lang w:val="en-US" w:eastAsia="zh-CN"/>
        </w:rPr>
        <w:t>新增</w:t>
      </w:r>
      <w:r>
        <w:rPr>
          <w:rFonts w:hint="eastAsia" w:ascii="Times New Roman" w:hAnsi="Times New Roman" w:eastAsia="方正仿宋_GBK" w:cs="方正仿宋_GBK"/>
          <w:color w:val="000000" w:themeColor="text1"/>
          <w:kern w:val="2"/>
          <w:szCs w:val="24"/>
          <w:highlight w:val="none"/>
          <w:u w:val="none"/>
          <w:lang w:eastAsia="zh-CN"/>
        </w:rPr>
        <w:t>高层次人才</w:t>
      </w:r>
      <w:r>
        <w:rPr>
          <w:rFonts w:hint="eastAsia" w:ascii="Times New Roman" w:hAnsi="Times New Roman" w:eastAsia="方正仿宋_GBK" w:cs="方正仿宋_GBK"/>
          <w:color w:val="000000" w:themeColor="text1"/>
          <w:kern w:val="2"/>
          <w:szCs w:val="24"/>
          <w:highlight w:val="none"/>
          <w:u w:val="none"/>
          <w:lang w:val="en-US" w:eastAsia="zh-CN"/>
        </w:rPr>
        <w:t>1300</w:t>
      </w:r>
      <w:r>
        <w:rPr>
          <w:rFonts w:hint="eastAsia" w:ascii="Times New Roman" w:hAnsi="Times New Roman" w:eastAsia="方正仿宋_GBK" w:cs="方正仿宋_GBK"/>
          <w:color w:val="000000" w:themeColor="text1"/>
          <w:kern w:val="2"/>
          <w:szCs w:val="24"/>
          <w:highlight w:val="none"/>
          <w:u w:val="none"/>
          <w:lang w:eastAsia="zh-CN"/>
        </w:rPr>
        <w:t>名、高技能人才</w:t>
      </w:r>
      <w:r>
        <w:rPr>
          <w:rFonts w:hint="eastAsia" w:ascii="Times New Roman" w:hAnsi="Times New Roman" w:eastAsia="方正仿宋_GBK" w:cs="方正仿宋_GBK"/>
          <w:color w:val="000000" w:themeColor="text1"/>
          <w:kern w:val="2"/>
          <w:szCs w:val="24"/>
          <w:highlight w:val="none"/>
          <w:u w:val="none"/>
          <w:lang w:val="en-US" w:eastAsia="zh-CN"/>
        </w:rPr>
        <w:t>5000</w:t>
      </w:r>
      <w:r>
        <w:rPr>
          <w:rFonts w:hint="eastAsia" w:ascii="Times New Roman" w:hAnsi="Times New Roman" w:eastAsia="方正仿宋_GBK" w:cs="方正仿宋_GBK"/>
          <w:color w:val="000000" w:themeColor="text1"/>
          <w:kern w:val="2"/>
          <w:szCs w:val="24"/>
          <w:highlight w:val="none"/>
          <w:u w:val="none"/>
          <w:lang w:eastAsia="zh-CN"/>
        </w:rPr>
        <w:t>名</w:t>
      </w:r>
      <w:r>
        <w:rPr>
          <w:rFonts w:hint="eastAsia" w:ascii="Times New Roman"/>
          <w:highlight w:val="none"/>
        </w:rPr>
        <w:t>。</w:t>
      </w:r>
      <w:r>
        <w:rPr>
          <w:rFonts w:hint="eastAsia" w:ascii="Times New Roman" w:hAnsi="Times New Roman" w:eastAsia="方正仿宋_GBK" w:cs="方正仿宋_GBK"/>
          <w:color w:val="000000" w:themeColor="text1"/>
          <w:kern w:val="2"/>
          <w:szCs w:val="24"/>
          <w:highlight w:val="none"/>
          <w:u w:val="none"/>
          <w:lang w:eastAsia="zh-CN"/>
        </w:rPr>
        <w:t>完善科技金融服务</w:t>
      </w:r>
      <w:r>
        <w:rPr>
          <w:rFonts w:hint="eastAsia" w:ascii="Times New Roman" w:hAnsi="Times New Roman" w:eastAsia="方正仿宋_GBK" w:cs="方正仿宋_GBK"/>
          <w:color w:val="000000" w:themeColor="text1"/>
          <w:kern w:val="2"/>
          <w:highlight w:val="none"/>
          <w:u w:val="none"/>
          <w:lang w:eastAsia="zh-CN"/>
        </w:rPr>
        <w:t>体系，发放科技贷款</w:t>
      </w:r>
      <w:r>
        <w:rPr>
          <w:rFonts w:hint="eastAsia" w:ascii="Times New Roman" w:hAnsi="Times New Roman" w:eastAsia="方正仿宋_GBK" w:cs="方正仿宋_GBK"/>
          <w:color w:val="000000" w:themeColor="text1"/>
          <w:kern w:val="2"/>
          <w:highlight w:val="none"/>
          <w:u w:val="none"/>
          <w:lang w:val="en-US" w:eastAsia="zh-CN"/>
        </w:rPr>
        <w:t>6</w:t>
      </w:r>
      <w:r>
        <w:rPr>
          <w:rFonts w:hint="eastAsia" w:ascii="Times New Roman" w:hAnsi="Times New Roman" w:eastAsia="方正仿宋_GBK" w:cs="方正仿宋_GBK"/>
          <w:color w:val="000000" w:themeColor="text1"/>
          <w:kern w:val="2"/>
          <w:highlight w:val="none"/>
          <w:u w:val="none"/>
          <w:lang w:eastAsia="zh-CN"/>
        </w:rPr>
        <w:t>亿元</w:t>
      </w:r>
      <w:r>
        <w:rPr>
          <w:rFonts w:hint="eastAsia" w:ascii="Times New Roman"/>
          <w:highlight w:val="none"/>
        </w:rPr>
        <w:t>。</w:t>
      </w:r>
      <w:r>
        <w:rPr>
          <w:rFonts w:ascii="Times New Roman"/>
          <w:highlight w:val="none"/>
        </w:rPr>
        <w:t>加快组建投早、投小、投长期、投硬科技的具有耐心属性的江阴市级科创天使基金，形成</w:t>
      </w:r>
      <w:r>
        <w:rPr>
          <w:rFonts w:hint="eastAsia" w:ascii="Times New Roman"/>
          <w:highlight w:val="none"/>
        </w:rPr>
        <w:t>“</w:t>
      </w:r>
      <w:r>
        <w:rPr>
          <w:rFonts w:ascii="Times New Roman"/>
          <w:highlight w:val="none"/>
        </w:rPr>
        <w:t>投前+投中+投后</w:t>
      </w:r>
      <w:r>
        <w:rPr>
          <w:rFonts w:hint="eastAsia" w:ascii="Times New Roman"/>
          <w:highlight w:val="none"/>
        </w:rPr>
        <w:t>”</w:t>
      </w:r>
      <w:r>
        <w:rPr>
          <w:rFonts w:ascii="Times New Roman"/>
          <w:highlight w:val="none"/>
        </w:rPr>
        <w:t>全周期生态服务链。持续开展</w:t>
      </w:r>
      <w:r>
        <w:rPr>
          <w:rFonts w:hint="eastAsia" w:ascii="Times New Roman"/>
          <w:highlight w:val="none"/>
        </w:rPr>
        <w:t>“霞客杯”“智荟澄”</w:t>
      </w:r>
      <w:r>
        <w:rPr>
          <w:rFonts w:ascii="Times New Roman"/>
          <w:highlight w:val="none"/>
        </w:rPr>
        <w:t>等有品牌影响力的活动，营造</w:t>
      </w:r>
      <w:r>
        <w:rPr>
          <w:rFonts w:hint="eastAsia" w:ascii="Times New Roman"/>
          <w:highlight w:val="none"/>
          <w:lang w:val="en-US" w:eastAsia="zh-CN"/>
        </w:rPr>
        <w:t>更优</w:t>
      </w:r>
      <w:r>
        <w:rPr>
          <w:rFonts w:ascii="Times New Roman"/>
          <w:highlight w:val="none"/>
        </w:rPr>
        <w:t>创新创业氛围。</w:t>
      </w:r>
    </w:p>
    <w:p w14:paraId="3A157FB3">
      <w:pPr>
        <w:keepNext w:val="0"/>
        <w:keepLines w:val="0"/>
        <w:pageBreakBefore w:val="0"/>
        <w:widowControl w:val="0"/>
        <w:kinsoku/>
        <w:wordWrap/>
        <w:overflowPunct w:val="0"/>
        <w:topLinePunct w:val="0"/>
        <w:autoSpaceDE/>
        <w:autoSpaceDN/>
        <w:bidi w:val="0"/>
        <w:adjustRightInd/>
        <w:snapToGrid/>
        <w:ind w:firstLine="616" w:firstLineChars="200"/>
        <w:textAlignment w:val="auto"/>
        <w:rPr>
          <w:rFonts w:ascii="Times New Roman"/>
          <w:highlight w:val="none"/>
        </w:rPr>
      </w:pPr>
      <w:r>
        <w:rPr>
          <w:rFonts w:hint="eastAsia" w:ascii="Times New Roman" w:eastAsia="方正楷体_GBK" w:cs="仿宋"/>
          <w:b/>
          <w:spacing w:val="3"/>
          <w:kern w:val="2"/>
          <w:highlight w:val="none"/>
        </w:rPr>
        <w:t>（三）聚焦重点领域改革，激发发展内生动力。</w:t>
      </w:r>
      <w:r>
        <w:rPr>
          <w:rFonts w:hint="eastAsia" w:ascii="Times New Roman" w:eastAsia="方正楷体_GBK" w:cs="仿宋"/>
          <w:bCs/>
          <w:spacing w:val="3"/>
          <w:kern w:val="2"/>
          <w:highlight w:val="none"/>
        </w:rPr>
        <w:t>深化功能区建设改革。</w:t>
      </w:r>
      <w:r>
        <w:rPr>
          <w:rFonts w:hint="eastAsia" w:ascii="Times New Roman" w:cs="方正仿宋_GBK"/>
          <w:highlight w:val="none"/>
        </w:rPr>
        <w:t>持续推进体制机制优化完善，打造更加高效顺畅的“功能区+镇街+国资公司”运营管理架构。</w:t>
      </w:r>
      <w:r>
        <w:rPr>
          <w:rFonts w:ascii="Times New Roman" w:eastAsia="方正楷体_GBK"/>
          <w:kern w:val="2"/>
          <w:highlight w:val="none"/>
        </w:rPr>
        <w:t>深入实施</w:t>
      </w:r>
      <w:r>
        <w:rPr>
          <w:rFonts w:hint="eastAsia" w:ascii="Times New Roman" w:eastAsia="方正楷体_GBK"/>
          <w:kern w:val="2"/>
          <w:highlight w:val="none"/>
        </w:rPr>
        <w:t>重大战略。</w:t>
      </w:r>
      <w:r>
        <w:rPr>
          <w:rFonts w:hint="eastAsia" w:ascii="Times New Roman" w:cs="方正仿宋_GBK"/>
          <w:color w:val="000000"/>
          <w:kern w:val="0"/>
          <w:highlight w:val="none"/>
        </w:rPr>
        <w:t>围绕“南征北战、东西互搏”，</w:t>
      </w:r>
      <w:r>
        <w:rPr>
          <w:rFonts w:hint="eastAsia" w:ascii="Times New Roman" w:cs="方正仿宋_GBK"/>
          <w:highlight w:val="none"/>
        </w:rPr>
        <w:t>启动江南大学（江阴校区）二期用地报批，</w:t>
      </w:r>
      <w:r>
        <w:rPr>
          <w:rFonts w:hint="eastAsia" w:ascii="Times New Roman" w:cs="方正仿宋_GBK"/>
          <w:color w:val="000000"/>
          <w:kern w:val="0"/>
          <w:highlight w:val="none"/>
        </w:rPr>
        <w:t>完成</w:t>
      </w:r>
      <w:r>
        <w:rPr>
          <w:rFonts w:hint="eastAsia" w:ascii="Times New Roman" w:cs="方正仿宋_GBK"/>
          <w:highlight w:val="none"/>
        </w:rPr>
        <w:t>旌阳湖科创园一期、清华MUST等项目建设；</w:t>
      </w:r>
      <w:r>
        <w:rPr>
          <w:rFonts w:hint="eastAsia" w:ascii="Times New Roman"/>
          <w:kern w:val="21"/>
          <w:highlight w:val="none"/>
        </w:rPr>
        <w:t>强化以上海港、宁波港两大枢纽为中心的江海河联动布局，新增航线2条，</w:t>
      </w:r>
      <w:r>
        <w:rPr>
          <w:rFonts w:hint="eastAsia" w:ascii="Times New Roman" w:cs="方正仿宋_GBK"/>
          <w:highlight w:val="none"/>
        </w:rPr>
        <w:t>江阴港集装箱运量达100万标箱、增长17.7%</w:t>
      </w:r>
      <w:r>
        <w:rPr>
          <w:rFonts w:hint="eastAsia" w:ascii="Times New Roman"/>
          <w:kern w:val="21"/>
          <w:highlight w:val="none"/>
        </w:rPr>
        <w:t>；加快工业园区升级改造，腾退产业用地1500亩、整治低效用地3500亩。</w:t>
      </w:r>
      <w:r>
        <w:rPr>
          <w:rFonts w:hint="eastAsia" w:ascii="Times New Roman" w:eastAsia="方正楷体_GBK" w:cs="仿宋"/>
          <w:bCs/>
          <w:spacing w:val="3"/>
          <w:kern w:val="2"/>
          <w:highlight w:val="none"/>
        </w:rPr>
        <w:t>打造最优营商环境。</w:t>
      </w:r>
      <w:r>
        <w:rPr>
          <w:rFonts w:hint="default" w:ascii="Times New Roman" w:hAnsi="Times New Roman" w:eastAsia="方正仿宋_GBK" w:cs="Times New Roman"/>
          <w:color w:val="000000" w:themeColor="text1"/>
          <w:kern w:val="2"/>
          <w:sz w:val="32"/>
          <w:highlight w:val="none"/>
          <w:u w:val="none"/>
        </w:rPr>
        <w:t>统</w:t>
      </w:r>
      <w:r>
        <w:rPr>
          <w:rFonts w:hint="eastAsia" w:ascii="Times New Roman" w:hAnsi="Times New Roman" w:eastAsia="方正仿宋_GBK" w:cs="方正仿宋_GBK"/>
          <w:color w:val="000000" w:themeColor="text1"/>
          <w:kern w:val="2"/>
          <w:sz w:val="32"/>
          <w:highlight w:val="none"/>
          <w:u w:val="none"/>
        </w:rPr>
        <w:t>筹实施稳增长、强动能、增后劲</w:t>
      </w:r>
      <w:r>
        <w:rPr>
          <w:rFonts w:hint="eastAsia" w:ascii="Times New Roman" w:hAnsi="Times New Roman" w:eastAsia="方正仿宋_GBK" w:cs="方正仿宋_GBK"/>
          <w:color w:val="000000" w:themeColor="text1"/>
          <w:kern w:val="2"/>
          <w:sz w:val="32"/>
          <w:highlight w:val="none"/>
          <w:u w:val="none"/>
          <w:lang w:eastAsia="zh-CN"/>
        </w:rPr>
        <w:t>“</w:t>
      </w:r>
      <w:r>
        <w:rPr>
          <w:rFonts w:hint="eastAsia" w:ascii="Times New Roman" w:hAnsi="Times New Roman" w:eastAsia="方正仿宋_GBK" w:cs="方正仿宋_GBK"/>
          <w:color w:val="000000" w:themeColor="text1"/>
          <w:kern w:val="2"/>
          <w:sz w:val="32"/>
          <w:highlight w:val="none"/>
          <w:u w:val="none"/>
          <w:lang w:val="en-US" w:eastAsia="zh-CN"/>
        </w:rPr>
        <w:t>一揽子</w:t>
      </w:r>
      <w:r>
        <w:rPr>
          <w:rFonts w:hint="eastAsia" w:ascii="Times New Roman" w:hAnsi="Times New Roman" w:eastAsia="方正仿宋_GBK" w:cs="方正仿宋_GBK"/>
          <w:color w:val="000000" w:themeColor="text1"/>
          <w:kern w:val="2"/>
          <w:sz w:val="32"/>
          <w:highlight w:val="none"/>
          <w:u w:val="none"/>
          <w:lang w:eastAsia="zh-CN"/>
        </w:rPr>
        <w:t>”</w:t>
      </w:r>
      <w:r>
        <w:rPr>
          <w:rFonts w:hint="eastAsia" w:ascii="Times New Roman" w:hAnsi="Times New Roman" w:eastAsia="方正仿宋_GBK" w:cs="方正仿宋_GBK"/>
          <w:color w:val="000000" w:themeColor="text1"/>
          <w:kern w:val="2"/>
          <w:sz w:val="32"/>
          <w:highlight w:val="none"/>
          <w:u w:val="none"/>
        </w:rPr>
        <w:t>惠企政策，</w:t>
      </w:r>
      <w:r>
        <w:rPr>
          <w:rFonts w:hint="eastAsia" w:ascii="Times New Roman" w:hAnsi="Times New Roman" w:eastAsia="方正仿宋_GBK" w:cs="方正仿宋_GBK"/>
          <w:color w:val="000000" w:themeColor="text1"/>
          <w:highlight w:val="none"/>
          <w:u w:val="none"/>
        </w:rPr>
        <w:t>提升“澄策之窗”服务效能，扩大“免申即享”“即申即享”政策范围，</w:t>
      </w:r>
      <w:r>
        <w:rPr>
          <w:rFonts w:hint="eastAsia" w:ascii="Times New Roman" w:hAnsi="Times New Roman" w:eastAsia="方正仿宋_GBK" w:cs="方正仿宋_GBK"/>
          <w:color w:val="000000" w:themeColor="text1"/>
          <w:highlight w:val="none"/>
          <w:u w:val="none"/>
          <w:lang w:val="en-US" w:eastAsia="zh-CN"/>
        </w:rPr>
        <w:t>实现</w:t>
      </w:r>
      <w:r>
        <w:rPr>
          <w:rFonts w:hint="eastAsia" w:ascii="Times New Roman" w:hAnsi="Times New Roman" w:eastAsia="方正仿宋_GBK" w:cs="方正仿宋_GBK"/>
          <w:color w:val="000000" w:themeColor="text1"/>
          <w:highlight w:val="none"/>
          <w:u w:val="none"/>
        </w:rPr>
        <w:t>各类优惠直享快达。</w:t>
      </w:r>
      <w:r>
        <w:rPr>
          <w:rFonts w:hint="eastAsia" w:ascii="Times New Roman" w:hAnsi="Times New Roman" w:eastAsia="方正仿宋_GBK"/>
          <w:color w:val="000000" w:themeColor="text1"/>
          <w:kern w:val="2"/>
          <w:szCs w:val="24"/>
          <w:highlight w:val="none"/>
          <w:u w:val="none"/>
        </w:rPr>
        <w:t>推动全科综合窗口改革向基层镇街延伸，探索“高效办成一类事”江阴样板。</w:t>
      </w:r>
      <w:r>
        <w:rPr>
          <w:rFonts w:ascii="Times New Roman"/>
          <w:szCs w:val="40"/>
          <w:highlight w:val="none"/>
        </w:rPr>
        <w:t>以金融支持民营经济共建机制试点工作为契机，健全政银企平台建设，优化配置金融资源。</w:t>
      </w:r>
      <w:r>
        <w:rPr>
          <w:rFonts w:hint="eastAsia" w:ascii="Times New Roman" w:eastAsia="方正楷体_GBK" w:cs="仿宋"/>
          <w:bCs/>
          <w:spacing w:val="3"/>
          <w:kern w:val="2"/>
          <w:highlight w:val="none"/>
        </w:rPr>
        <w:t>强化区域协同发展</w:t>
      </w:r>
      <w:r>
        <w:rPr>
          <w:rFonts w:ascii="Times New Roman"/>
          <w:highlight w:val="none"/>
        </w:rPr>
        <w:t>。</w:t>
      </w:r>
      <w:r>
        <w:rPr>
          <w:rFonts w:hint="eastAsia" w:ascii="Times New Roman"/>
          <w:color w:val="000000" w:themeColor="text1"/>
          <w:highlight w:val="none"/>
        </w:rPr>
        <w:t>积极融入长三角一体化，强化锡澄、锡常、澄张虞等毗邻地区合作，持续推动跨江融合高质量发展。服务长三角—粤港澳（无锡）科创产业融合发展区建设，进一步谋划推动市域、区域协调发展。</w:t>
      </w:r>
      <w:r>
        <w:rPr>
          <w:rFonts w:hint="eastAsia" w:ascii="Times New Roman" w:eastAsia="方正楷体_GBK" w:cs="仿宋"/>
          <w:bCs/>
          <w:spacing w:val="3"/>
          <w:kern w:val="2"/>
          <w:highlight w:val="none"/>
        </w:rPr>
        <w:t>坚持对外开放合作</w:t>
      </w:r>
      <w:r>
        <w:rPr>
          <w:rFonts w:hint="eastAsia" w:ascii="Times New Roman"/>
          <w:color w:val="000000" w:themeColor="text1"/>
          <w:highlight w:val="none"/>
        </w:rPr>
        <w:t>。</w:t>
      </w:r>
      <w:r>
        <w:rPr>
          <w:rFonts w:hint="eastAsia" w:ascii="Times New Roman" w:hAnsi="Times New Roman" w:eastAsia="方正仿宋_GBK" w:cs="方正仿宋_GBK"/>
          <w:color w:val="000000" w:themeColor="text1"/>
          <w:kern w:val="2"/>
          <w:szCs w:val="24"/>
          <w:highlight w:val="none"/>
          <w:u w:val="none"/>
          <w:lang w:val="en-US" w:eastAsia="zh-CN"/>
        </w:rPr>
        <w:t>强化各类进出口商会、贸促会对接联系，加强出口信贷和信保支持，精准服务企业抢订单、拓市场、控风险。优化外商投资促进政策，</w:t>
      </w:r>
      <w:r>
        <w:rPr>
          <w:rFonts w:hint="eastAsia" w:ascii="Times New Roman" w:hAnsi="Times New Roman" w:eastAsia="方正仿宋_GBK" w:cs="方正仿宋_GBK"/>
          <w:color w:val="000000" w:themeColor="text1"/>
          <w:kern w:val="2"/>
          <w:szCs w:val="24"/>
          <w:highlight w:val="none"/>
          <w:u w:val="none"/>
        </w:rPr>
        <w:t>积极对接引进更多优质外资项目，鼓励本地</w:t>
      </w:r>
      <w:r>
        <w:rPr>
          <w:rFonts w:hint="eastAsia" w:ascii="Times New Roman" w:hAnsi="Times New Roman" w:eastAsia="方正仿宋_GBK" w:cs="方正仿宋_GBK"/>
          <w:color w:val="000000" w:themeColor="text1"/>
          <w:kern w:val="2"/>
          <w:szCs w:val="24"/>
          <w:highlight w:val="none"/>
          <w:u w:val="none"/>
          <w:lang w:val="en-US" w:eastAsia="zh-CN"/>
        </w:rPr>
        <w:t>外资企业</w:t>
      </w:r>
      <w:r>
        <w:rPr>
          <w:rFonts w:hint="eastAsia" w:ascii="Times New Roman" w:hAnsi="Times New Roman" w:eastAsia="方正仿宋_GBK" w:cs="方正仿宋_GBK"/>
          <w:color w:val="000000" w:themeColor="text1"/>
          <w:kern w:val="2"/>
          <w:szCs w:val="24"/>
          <w:highlight w:val="none"/>
          <w:u w:val="none"/>
        </w:rPr>
        <w:t>利润再投资</w:t>
      </w:r>
      <w:r>
        <w:rPr>
          <w:rFonts w:hint="eastAsia" w:ascii="Times New Roman" w:hAnsi="Times New Roman" w:eastAsia="方正仿宋_GBK" w:cs="方正仿宋_GBK"/>
          <w:color w:val="000000" w:themeColor="text1"/>
          <w:kern w:val="2"/>
          <w:szCs w:val="24"/>
          <w:highlight w:val="none"/>
          <w:u w:val="none"/>
          <w:lang w:eastAsia="zh-CN"/>
        </w:rPr>
        <w:t>。</w:t>
      </w:r>
      <w:r>
        <w:rPr>
          <w:rFonts w:hint="eastAsia" w:ascii="Times New Roman" w:hAnsi="Times New Roman" w:eastAsia="方正仿宋_GBK" w:cs="方正仿宋_GBK"/>
          <w:color w:val="000000" w:themeColor="text1"/>
          <w:kern w:val="2"/>
          <w:szCs w:val="24"/>
          <w:highlight w:val="none"/>
          <w:u w:val="none"/>
        </w:rPr>
        <w:t>推动对外投资提质增效，完成对外直接投资3.5亿美元。</w:t>
      </w:r>
    </w:p>
    <w:p w14:paraId="08322A05">
      <w:pPr>
        <w:overflowPunct w:val="0"/>
        <w:spacing w:line="580" w:lineRule="exact"/>
        <w:ind w:firstLine="592" w:firstLineChars="196"/>
        <w:rPr>
          <w:rFonts w:ascii="Times New Roman" w:cs="仿宋"/>
          <w:bCs/>
          <w:kern w:val="21"/>
          <w:highlight w:val="none"/>
        </w:rPr>
      </w:pPr>
      <w:r>
        <w:rPr>
          <w:rFonts w:hint="eastAsia" w:ascii="Times New Roman" w:eastAsia="方正楷体_GBK" w:cs="仿宋"/>
          <w:b/>
          <w:kern w:val="21"/>
          <w:highlight w:val="none"/>
        </w:rPr>
        <w:t>（四）加快美丽江阴建设，促进城乡融合发展。</w:t>
      </w:r>
      <w:r>
        <w:rPr>
          <w:rFonts w:hint="eastAsia" w:ascii="Times New Roman" w:eastAsia="方正楷体_GBK" w:cs="仿宋"/>
          <w:bCs/>
          <w:kern w:val="21"/>
          <w:highlight w:val="none"/>
        </w:rPr>
        <w:t>完善交通设施建设。</w:t>
      </w:r>
      <w:r>
        <w:rPr>
          <w:rFonts w:hint="eastAsia" w:ascii="Times New Roman" w:hAnsi="Times New Roman" w:eastAsia="方正仿宋_GBK" w:cs="方正仿宋_GBK"/>
          <w:color w:val="000000" w:themeColor="text1"/>
          <w:szCs w:val="32"/>
          <w:highlight w:val="none"/>
          <w:u w:val="none"/>
        </w:rPr>
        <w:t>积极推进盐泰锡常宜铁路、</w:t>
      </w:r>
      <w:r>
        <w:rPr>
          <w:rFonts w:hint="eastAsia" w:ascii="Times New Roman" w:hAnsi="Times New Roman" w:eastAsia="方正仿宋_GBK" w:cs="方正仿宋_GBK"/>
          <w:color w:val="000000" w:themeColor="text1"/>
          <w:szCs w:val="32"/>
          <w:highlight w:val="none"/>
          <w:u w:val="none"/>
          <w:lang w:val="en-US" w:eastAsia="zh-CN"/>
        </w:rPr>
        <w:t>江阴站增建动车存车场项目</w:t>
      </w:r>
      <w:r>
        <w:rPr>
          <w:rFonts w:hint="eastAsia" w:ascii="Times New Roman" w:hAnsi="Times New Roman" w:eastAsia="方正仿宋_GBK" w:cs="方正仿宋_GBK"/>
          <w:color w:val="000000" w:themeColor="text1"/>
          <w:szCs w:val="32"/>
          <w:highlight w:val="none"/>
          <w:u w:val="none"/>
        </w:rPr>
        <w:t>建设，江阴靖江长江隧道、南接线及配套工程具备通车条件</w:t>
      </w:r>
      <w:r>
        <w:rPr>
          <w:rFonts w:hint="eastAsia" w:ascii="Times New Roman" w:hAnsi="Times New Roman" w:cs="方正仿宋_GBK"/>
          <w:color w:val="000000" w:themeColor="text1"/>
          <w:szCs w:val="32"/>
          <w:highlight w:val="none"/>
          <w:u w:val="none"/>
          <w:lang w:eastAsia="zh-CN"/>
        </w:rPr>
        <w:t>。</w:t>
      </w:r>
      <w:r>
        <w:rPr>
          <w:rFonts w:hint="eastAsia" w:ascii="Times New Roman" w:hAnsi="Times New Roman" w:eastAsia="方正仿宋_GBK" w:cs="方正仿宋_GBK"/>
          <w:color w:val="000000" w:themeColor="text1"/>
          <w:szCs w:val="32"/>
          <w:highlight w:val="none"/>
          <w:u w:val="none"/>
        </w:rPr>
        <w:t>加快</w:t>
      </w:r>
      <w:r>
        <w:rPr>
          <w:rFonts w:hint="eastAsia" w:ascii="Times New Roman" w:hAnsi="Times New Roman" w:eastAsia="方正仿宋_GBK" w:cs="方正仿宋_GBK"/>
          <w:color w:val="000000" w:themeColor="text1"/>
          <w:szCs w:val="32"/>
          <w:highlight w:val="none"/>
          <w:u w:val="none"/>
          <w:lang w:eastAsia="zh-CN"/>
        </w:rPr>
        <w:t>沪武高速扩建江阴段、S229江阴段</w:t>
      </w:r>
      <w:r>
        <w:rPr>
          <w:rFonts w:hint="eastAsia" w:ascii="Times New Roman" w:hAnsi="Times New Roman" w:cs="方正仿宋_GBK"/>
          <w:color w:val="000000" w:themeColor="text1"/>
          <w:szCs w:val="32"/>
          <w:highlight w:val="none"/>
          <w:u w:val="none"/>
          <w:lang w:eastAsia="zh-CN"/>
        </w:rPr>
        <w:t>、</w:t>
      </w:r>
      <w:r>
        <w:rPr>
          <w:rFonts w:hint="eastAsia" w:ascii="Times New Roman"/>
          <w:kern w:val="21"/>
          <w:highlight w:val="none"/>
        </w:rPr>
        <w:t>武澄锡虞中片沿江排水河道治理暨多港联运综合枢纽</w:t>
      </w:r>
      <w:r>
        <w:rPr>
          <w:rFonts w:hint="eastAsia" w:ascii="Times New Roman"/>
          <w:kern w:val="21"/>
          <w:highlight w:val="none"/>
          <w:lang w:val="en-US" w:eastAsia="zh-CN"/>
        </w:rPr>
        <w:t>等</w:t>
      </w:r>
      <w:r>
        <w:rPr>
          <w:rFonts w:hint="eastAsia" w:ascii="Times New Roman"/>
          <w:kern w:val="21"/>
          <w:highlight w:val="none"/>
        </w:rPr>
        <w:t>工程</w:t>
      </w:r>
      <w:r>
        <w:rPr>
          <w:rFonts w:hint="eastAsia" w:ascii="Times New Roman" w:hAnsi="Times New Roman" w:eastAsia="方正仿宋_GBK" w:cs="方正仿宋_GBK"/>
          <w:color w:val="000000" w:themeColor="text1"/>
          <w:szCs w:val="32"/>
          <w:highlight w:val="none"/>
          <w:u w:val="none"/>
        </w:rPr>
        <w:t>建设，启动滨江</w:t>
      </w:r>
      <w:r>
        <w:rPr>
          <w:rFonts w:hint="eastAsia" w:ascii="Times New Roman" w:hAnsi="Times New Roman" w:eastAsia="方正仿宋_GBK" w:cs="方正仿宋_GBK"/>
          <w:color w:val="000000" w:themeColor="text1"/>
          <w:szCs w:val="32"/>
          <w:highlight w:val="none"/>
          <w:u w:val="none"/>
          <w:lang w:eastAsia="zh-CN"/>
        </w:rPr>
        <w:t>快速路西延段、</w:t>
      </w:r>
      <w:r>
        <w:rPr>
          <w:rFonts w:hint="eastAsia" w:ascii="Times New Roman" w:hAnsi="Times New Roman" w:eastAsia="方正仿宋_GBK" w:cs="方正仿宋_GBK"/>
          <w:color w:val="000000" w:themeColor="text1"/>
          <w:szCs w:val="32"/>
          <w:highlight w:val="none"/>
          <w:u w:val="none"/>
          <w:lang w:val="en-US" w:eastAsia="zh-CN"/>
        </w:rPr>
        <w:t>长山大道南延、暨南大道西延、新长路等</w:t>
      </w:r>
      <w:r>
        <w:rPr>
          <w:rFonts w:hint="eastAsia" w:ascii="Times New Roman" w:hAnsi="Times New Roman" w:eastAsia="方正仿宋_GBK" w:cs="方正仿宋_GBK"/>
          <w:color w:val="000000" w:themeColor="text1"/>
          <w:szCs w:val="32"/>
          <w:highlight w:val="none"/>
          <w:u w:val="none"/>
          <w:lang w:eastAsia="zh-CN"/>
        </w:rPr>
        <w:t>工程，完成锡澄路快速化改造（塘头桥—顾桐路）、新澄杨线一期建设。</w:t>
      </w:r>
      <w:r>
        <w:rPr>
          <w:rFonts w:hint="eastAsia" w:ascii="Times New Roman" w:eastAsia="方正楷体_GBK" w:cs="仿宋"/>
          <w:bCs/>
          <w:kern w:val="21"/>
          <w:highlight w:val="none"/>
        </w:rPr>
        <w:t>提升城市功能品质。</w:t>
      </w:r>
      <w:r>
        <w:rPr>
          <w:rFonts w:hint="eastAsia" w:ascii="Times New Roman"/>
          <w:kern w:val="21"/>
          <w:highlight w:val="none"/>
        </w:rPr>
        <w:t>加快各镇街、开发区土地成片开发方案的编制和保障性安居工程建设。加快中心城区站西路南侧地块等区域旧城改造工作，</w:t>
      </w:r>
      <w:r>
        <w:rPr>
          <w:rFonts w:ascii="Times New Roman"/>
          <w:kern w:val="21"/>
          <w:highlight w:val="none"/>
        </w:rPr>
        <w:t>推</w:t>
      </w:r>
      <w:r>
        <w:rPr>
          <w:rFonts w:hint="eastAsia" w:ascii="Times New Roman"/>
          <w:kern w:val="21"/>
          <w:highlight w:val="none"/>
        </w:rPr>
        <w:t>动</w:t>
      </w:r>
      <w:r>
        <w:rPr>
          <w:rFonts w:ascii="Times New Roman"/>
          <w:kern w:val="21"/>
          <w:highlight w:val="none"/>
        </w:rPr>
        <w:t>城市更新单元建设</w:t>
      </w:r>
      <w:r>
        <w:rPr>
          <w:rFonts w:hint="eastAsia" w:ascii="Times New Roman"/>
          <w:kern w:val="21"/>
          <w:highlight w:val="none"/>
        </w:rPr>
        <w:t>，完成3个、19万平方米老旧小区改造，</w:t>
      </w:r>
      <w:r>
        <w:rPr>
          <w:rFonts w:hint="eastAsia" w:ascii="Times New Roman" w:hAnsi="Times New Roman" w:eastAsia="方正仿宋_GBK" w:cs="方正仿宋_GBK"/>
          <w:color w:val="000000" w:themeColor="text1"/>
          <w:szCs w:val="32"/>
          <w:highlight w:val="none"/>
          <w:u w:val="none"/>
          <w:lang w:eastAsia="zh-CN"/>
        </w:rPr>
        <w:t>完成</w:t>
      </w:r>
      <w:r>
        <w:rPr>
          <w:rFonts w:hint="eastAsia" w:ascii="Times New Roman" w:hAnsi="Times New Roman" w:eastAsia="方正仿宋_GBK" w:cs="方正仿宋_GBK"/>
          <w:color w:val="000000" w:themeColor="text1"/>
          <w:highlight w:val="none"/>
          <w:u w:val="none"/>
        </w:rPr>
        <w:t>既有多层住宅加装电梯</w:t>
      </w:r>
      <w:r>
        <w:rPr>
          <w:rFonts w:hint="eastAsia" w:ascii="Times New Roman" w:hAnsi="Times New Roman" w:eastAsia="方正仿宋_GBK" w:cs="方正仿宋_GBK"/>
          <w:color w:val="000000" w:themeColor="text1"/>
          <w:highlight w:val="none"/>
          <w:u w:val="none"/>
          <w:lang w:val="en-US" w:eastAsia="zh-CN"/>
        </w:rPr>
        <w:t>50</w:t>
      </w:r>
      <w:r>
        <w:rPr>
          <w:rFonts w:hint="eastAsia" w:ascii="Times New Roman" w:hAnsi="Times New Roman" w:eastAsia="方正仿宋_GBK" w:cs="方正仿宋_GBK"/>
          <w:color w:val="000000" w:themeColor="text1"/>
          <w:szCs w:val="32"/>
          <w:highlight w:val="none"/>
          <w:u w:val="none"/>
          <w:lang w:eastAsia="zh-CN"/>
        </w:rPr>
        <w:t>台</w:t>
      </w:r>
      <w:r>
        <w:rPr>
          <w:rFonts w:hint="eastAsia" w:ascii="Times New Roman" w:cs="仿宋"/>
          <w:kern w:val="21"/>
          <w:highlight w:val="none"/>
        </w:rPr>
        <w:t>。</w:t>
      </w:r>
      <w:r>
        <w:rPr>
          <w:rFonts w:hint="eastAsia" w:ascii="Times New Roman"/>
          <w:kern w:val="21"/>
          <w:highlight w:val="none"/>
        </w:rPr>
        <w:t>推动林荫大道、锡澄运河公园五期等项目建设，完成黄山湖公园修复工程等城区老旧公园品质提升，新建“江小澄”口袋公园3个。开展小微空间整治，</w:t>
      </w:r>
      <w:r>
        <w:rPr>
          <w:rFonts w:ascii="Times New Roman"/>
          <w:color w:val="000000"/>
          <w:kern w:val="21"/>
          <w:highlight w:val="none"/>
        </w:rPr>
        <w:t>提升</w:t>
      </w:r>
      <w:r>
        <w:rPr>
          <w:rFonts w:hint="eastAsia" w:ascii="Times New Roman"/>
          <w:color w:val="000000"/>
          <w:kern w:val="21"/>
          <w:highlight w:val="none"/>
        </w:rPr>
        <w:t>“</w:t>
      </w:r>
      <w:r>
        <w:rPr>
          <w:rFonts w:ascii="Times New Roman"/>
          <w:color w:val="000000"/>
          <w:kern w:val="21"/>
          <w:highlight w:val="none"/>
        </w:rPr>
        <w:t>美丽街巷</w:t>
      </w:r>
      <w:r>
        <w:rPr>
          <w:rFonts w:hint="eastAsia" w:ascii="Times New Roman"/>
          <w:color w:val="000000"/>
          <w:kern w:val="21"/>
          <w:highlight w:val="none"/>
        </w:rPr>
        <w:t>”</w:t>
      </w:r>
      <w:r>
        <w:rPr>
          <w:rFonts w:ascii="Times New Roman"/>
          <w:color w:val="000000"/>
          <w:kern w:val="21"/>
          <w:highlight w:val="none"/>
        </w:rPr>
        <w:t>2条、</w:t>
      </w:r>
      <w:r>
        <w:rPr>
          <w:rFonts w:hint="eastAsia" w:ascii="Times New Roman"/>
          <w:color w:val="000000"/>
          <w:kern w:val="21"/>
          <w:highlight w:val="none"/>
        </w:rPr>
        <w:t>“</w:t>
      </w:r>
      <w:r>
        <w:rPr>
          <w:rFonts w:ascii="Times New Roman"/>
          <w:color w:val="000000"/>
          <w:kern w:val="21"/>
          <w:highlight w:val="none"/>
        </w:rPr>
        <w:t>城市休憩角</w:t>
      </w:r>
      <w:r>
        <w:rPr>
          <w:rFonts w:hint="eastAsia" w:ascii="Times New Roman"/>
          <w:color w:val="000000"/>
          <w:kern w:val="21"/>
          <w:highlight w:val="none"/>
        </w:rPr>
        <w:t>”</w:t>
      </w:r>
      <w:r>
        <w:rPr>
          <w:rFonts w:ascii="Times New Roman"/>
          <w:color w:val="000000"/>
          <w:kern w:val="21"/>
          <w:highlight w:val="none"/>
        </w:rPr>
        <w:t>4处</w:t>
      </w:r>
      <w:r>
        <w:rPr>
          <w:rFonts w:hint="eastAsia" w:ascii="Times New Roman"/>
          <w:kern w:val="21"/>
          <w:highlight w:val="none"/>
        </w:rPr>
        <w:t>。</w:t>
      </w:r>
      <w:r>
        <w:rPr>
          <w:rFonts w:hint="eastAsia" w:ascii="Times New Roman" w:hAnsi="Times New Roman" w:eastAsia="方正仿宋_GBK" w:cs="Times New Roman"/>
          <w:color w:val="000000" w:themeColor="text1"/>
          <w:szCs w:val="32"/>
          <w:highlight w:val="none"/>
          <w:u w:val="none"/>
        </w:rPr>
        <w:t>新增停车泊位4000个</w:t>
      </w:r>
      <w:r>
        <w:rPr>
          <w:rFonts w:hint="eastAsia" w:ascii="Times New Roman"/>
          <w:kern w:val="21"/>
          <w:highlight w:val="none"/>
        </w:rPr>
        <w:t>。</w:t>
      </w:r>
      <w:r>
        <w:rPr>
          <w:rFonts w:hint="eastAsia" w:ascii="Times New Roman" w:eastAsia="方正楷体_GBK"/>
          <w:color w:val="000000"/>
          <w:kern w:val="21"/>
          <w:highlight w:val="none"/>
        </w:rPr>
        <w:t>建设宜居宜业乡村</w:t>
      </w:r>
      <w:r>
        <w:rPr>
          <w:rFonts w:ascii="Times New Roman" w:eastAsia="方正楷体_GBK"/>
          <w:color w:val="000000"/>
          <w:kern w:val="21"/>
          <w:highlight w:val="none"/>
        </w:rPr>
        <w:t>。</w:t>
      </w:r>
      <w:r>
        <w:rPr>
          <w:rFonts w:hint="eastAsia" w:ascii="Times New Roman"/>
          <w:kern w:val="21"/>
          <w:highlight w:val="none"/>
        </w:rPr>
        <w:t>夯实稳产保供根基，全年粮食播种面积29万亩以上，</w:t>
      </w:r>
      <w:r>
        <w:rPr>
          <w:rFonts w:hint="eastAsia" w:ascii="Times New Roman" w:hAnsi="Times New Roman" w:eastAsia="方正仿宋_GBK" w:cs="方正仿宋_GBK"/>
          <w:color w:val="000000" w:themeColor="text1"/>
          <w:szCs w:val="32"/>
          <w:highlight w:val="none"/>
          <w:u w:val="none"/>
        </w:rPr>
        <w:t>新建、改造高标准农田</w:t>
      </w:r>
      <w:r>
        <w:rPr>
          <w:rFonts w:hint="eastAsia" w:ascii="Times New Roman" w:hAnsi="Times New Roman" w:eastAsia="方正仿宋_GBK" w:cs="方正仿宋_GBK"/>
          <w:color w:val="000000" w:themeColor="text1"/>
          <w:szCs w:val="32"/>
          <w:highlight w:val="none"/>
          <w:u w:val="none"/>
          <w:lang w:val="en-US" w:eastAsia="zh-CN"/>
        </w:rPr>
        <w:t>2.6</w:t>
      </w:r>
      <w:r>
        <w:rPr>
          <w:rFonts w:hint="eastAsia" w:ascii="Times New Roman" w:hAnsi="Times New Roman" w:eastAsia="方正仿宋_GBK" w:cs="方正仿宋_GBK"/>
          <w:color w:val="000000" w:themeColor="text1"/>
          <w:szCs w:val="32"/>
          <w:highlight w:val="none"/>
          <w:u w:val="none"/>
        </w:rPr>
        <w:t>万亩，建设蔬菜保供基地</w:t>
      </w:r>
      <w:r>
        <w:rPr>
          <w:rFonts w:hint="eastAsia" w:ascii="Times New Roman" w:hAnsi="Times New Roman" w:eastAsia="方正仿宋_GBK" w:cs="方正仿宋_GBK"/>
          <w:color w:val="000000" w:themeColor="text1"/>
          <w:szCs w:val="32"/>
          <w:highlight w:val="none"/>
          <w:u w:val="none"/>
          <w:lang w:val="en-US" w:eastAsia="zh-CN"/>
        </w:rPr>
        <w:t>0.6</w:t>
      </w:r>
      <w:r>
        <w:rPr>
          <w:rFonts w:hint="eastAsia" w:ascii="Times New Roman" w:hAnsi="Times New Roman" w:eastAsia="方正仿宋_GBK" w:cs="方正仿宋_GBK"/>
          <w:color w:val="000000" w:themeColor="text1"/>
          <w:szCs w:val="32"/>
          <w:highlight w:val="none"/>
          <w:u w:val="none"/>
        </w:rPr>
        <w:t>万亩</w:t>
      </w:r>
      <w:r>
        <w:rPr>
          <w:rFonts w:hint="eastAsia" w:ascii="Times New Roman"/>
          <w:kern w:val="21"/>
          <w:highlight w:val="none"/>
        </w:rPr>
        <w:t>。推动规划发展村全面启动现代“美丽农居”建设。建成水美乡村16个。巩固农村人居环境整治成效，确保农村人居环境整治长效管护合格村比例保持在</w:t>
      </w:r>
      <w:r>
        <w:rPr>
          <w:rFonts w:ascii="Times New Roman"/>
          <w:kern w:val="21"/>
          <w:highlight w:val="none"/>
        </w:rPr>
        <w:t>95%</w:t>
      </w:r>
      <w:r>
        <w:rPr>
          <w:rFonts w:hint="eastAsia" w:ascii="Times New Roman"/>
          <w:kern w:val="21"/>
          <w:highlight w:val="none"/>
        </w:rPr>
        <w:t>以上。</w:t>
      </w:r>
    </w:p>
    <w:p w14:paraId="7961ADB8">
      <w:pPr>
        <w:overflowPunct w:val="0"/>
        <w:spacing w:line="580" w:lineRule="exact"/>
        <w:ind w:firstLine="603" w:firstLineChars="196"/>
        <w:rPr>
          <w:rFonts w:ascii="Times New Roman"/>
          <w:highlight w:val="none"/>
        </w:rPr>
      </w:pPr>
      <w:r>
        <w:rPr>
          <w:rFonts w:hint="eastAsia" w:ascii="Times New Roman" w:eastAsia="方正楷体_GBK" w:cs="仿宋"/>
          <w:b/>
          <w:spacing w:val="3"/>
          <w:kern w:val="2"/>
          <w:highlight w:val="none"/>
        </w:rPr>
        <w:t>（五）坚持绿色低碳发展，厚植生态发展底色。</w:t>
      </w:r>
      <w:r>
        <w:rPr>
          <w:rFonts w:hint="eastAsia" w:ascii="Times New Roman" w:eastAsia="方正楷体_GBK"/>
          <w:color w:val="000000"/>
          <w:highlight w:val="none"/>
        </w:rPr>
        <w:t>加快产业绿色发展。</w:t>
      </w:r>
      <w:r>
        <w:rPr>
          <w:rFonts w:hint="eastAsia" w:ascii="Times New Roman" w:cs="方正仿宋_GBK"/>
          <w:kern w:val="21"/>
          <w:highlight w:val="none"/>
        </w:rPr>
        <w:t>发展绿色低碳产业和供应链，滚动实施节能降碳绿色化改造项目20个以上，实现年节能量5万吨标煤；</w:t>
      </w:r>
      <w:r>
        <w:rPr>
          <w:rFonts w:hint="eastAsia" w:ascii="Times New Roman"/>
          <w:highlight w:val="none"/>
        </w:rPr>
        <w:t>加强绿色低碳技术装备产</w:t>
      </w:r>
      <w:r>
        <w:rPr>
          <w:rFonts w:hint="eastAsia" w:ascii="Times New Roman" w:cs="方正仿宋_GBK"/>
          <w:kern w:val="21"/>
          <w:highlight w:val="none"/>
        </w:rPr>
        <w:t>品开发供给，推动氢能、新型储能等绿色低碳产业发展</w:t>
      </w:r>
      <w:r>
        <w:rPr>
          <w:rFonts w:hint="eastAsia" w:ascii="Times New Roman" w:cs="方正仿宋_GBK"/>
          <w:kern w:val="21"/>
          <w:highlight w:val="none"/>
          <w:lang w:eastAsia="zh-CN"/>
        </w:rPr>
        <w:t>，</w:t>
      </w:r>
      <w:r>
        <w:rPr>
          <w:rFonts w:hint="eastAsia" w:ascii="Times New Roman" w:hAnsi="Times New Roman" w:eastAsia="方正仿宋_GBK" w:cs="方正仿宋_GBK"/>
          <w:color w:val="000000" w:themeColor="text1"/>
          <w:szCs w:val="32"/>
          <w:highlight w:val="none"/>
        </w:rPr>
        <w:t>深入推进印染行业集聚发展</w:t>
      </w:r>
      <w:r>
        <w:rPr>
          <w:rFonts w:hint="eastAsia" w:ascii="Times New Roman" w:cs="方正仿宋_GBK"/>
          <w:kern w:val="21"/>
          <w:highlight w:val="none"/>
        </w:rPr>
        <w:t>；新增省级以上绿色工厂5家，积极创建“零碳”工厂。</w:t>
      </w:r>
      <w:r>
        <w:rPr>
          <w:rFonts w:hint="eastAsia" w:ascii="Times New Roman" w:eastAsia="方正楷体_GBK"/>
          <w:color w:val="000000"/>
          <w:highlight w:val="none"/>
        </w:rPr>
        <w:t>加强环境综合治理。</w:t>
      </w:r>
      <w:r>
        <w:rPr>
          <w:rFonts w:hint="eastAsia" w:ascii="方正仿宋_GBK" w:hAnsi="方正仿宋_GBK" w:eastAsia="方正仿宋_GBK" w:cs="方正仿宋_GBK"/>
          <w:color w:val="000000" w:themeColor="text1"/>
          <w:szCs w:val="32"/>
          <w:highlight w:val="none"/>
        </w:rPr>
        <w:t>扎实做好中央、省环保督察交办问题整改销号工作。</w:t>
      </w:r>
      <w:r>
        <w:rPr>
          <w:rFonts w:hint="eastAsia" w:ascii="方正仿宋_GBK" w:hAnsi="方正仿宋_GBK" w:eastAsia="方正仿宋_GBK" w:cs="方正仿宋_GBK"/>
          <w:color w:val="000000" w:themeColor="text1"/>
          <w:highlight w:val="none"/>
        </w:rPr>
        <w:t>加强PM</w:t>
      </w:r>
      <w:r>
        <w:rPr>
          <w:rFonts w:hint="eastAsia" w:ascii="方正仿宋_GBK" w:hAnsi="方正仿宋_GBK" w:eastAsia="方正仿宋_GBK" w:cs="方正仿宋_GBK"/>
          <w:color w:val="000000" w:themeColor="text1"/>
          <w:highlight w:val="none"/>
          <w:vertAlign w:val="subscript"/>
        </w:rPr>
        <w:t>2.5</w:t>
      </w:r>
      <w:r>
        <w:rPr>
          <w:rFonts w:hint="eastAsia" w:ascii="方正仿宋_GBK" w:hAnsi="方正仿宋_GBK" w:eastAsia="方正仿宋_GBK" w:cs="方正仿宋_GBK"/>
          <w:color w:val="000000" w:themeColor="text1"/>
          <w:highlight w:val="none"/>
        </w:rPr>
        <w:t>和臭氧浓度“双控双减”，统筹做好“</w:t>
      </w:r>
      <w:bookmarkStart w:id="0" w:name="OLE_LINK8"/>
      <w:bookmarkStart w:id="1" w:name="OLE_LINK9"/>
      <w:r>
        <w:rPr>
          <w:rFonts w:hint="eastAsia" w:ascii="方正仿宋_GBK" w:hAnsi="方正仿宋_GBK" w:eastAsia="方正仿宋_GBK" w:cs="方正仿宋_GBK"/>
          <w:color w:val="000000" w:themeColor="text1"/>
          <w:highlight w:val="none"/>
        </w:rPr>
        <w:t>五气共治</w:t>
      </w:r>
      <w:bookmarkEnd w:id="0"/>
      <w:bookmarkEnd w:id="1"/>
      <w:r>
        <w:rPr>
          <w:rFonts w:hint="eastAsia" w:ascii="方正仿宋_GBK" w:hAnsi="方正仿宋_GBK" w:eastAsia="方正仿宋_GBK" w:cs="方正仿宋_GBK"/>
          <w:color w:val="000000" w:themeColor="text1"/>
          <w:highlight w:val="none"/>
        </w:rPr>
        <w:t>”</w:t>
      </w:r>
      <w:r>
        <w:rPr>
          <w:rFonts w:hint="eastAsia" w:ascii="方正仿宋_GBK" w:hAnsi="方正仿宋_GBK" w:eastAsia="方正仿宋_GBK" w:cs="方正仿宋_GBK"/>
          <w:color w:val="000000" w:themeColor="text1"/>
          <w:szCs w:val="32"/>
          <w:highlight w:val="none"/>
        </w:rPr>
        <w:t>，</w:t>
      </w:r>
      <w:r>
        <w:rPr>
          <w:rFonts w:hint="eastAsia" w:ascii="方正仿宋_GBK" w:hAnsi="方正仿宋_GBK" w:eastAsia="方正仿宋_GBK" w:cs="方正仿宋_GBK"/>
          <w:color w:val="000000" w:themeColor="text1"/>
          <w:highlight w:val="none"/>
        </w:rPr>
        <w:t>持续推进工业炉窑、橡胶和塑料制品等行业整治，确保</w:t>
      </w:r>
      <w:r>
        <w:rPr>
          <w:rFonts w:hint="eastAsia" w:ascii="方正仿宋_GBK" w:hAnsi="方正仿宋_GBK" w:eastAsia="方正仿宋_GBK" w:cs="方正仿宋_GBK"/>
          <w:color w:val="000000" w:themeColor="text1"/>
          <w:szCs w:val="32"/>
          <w:highlight w:val="none"/>
        </w:rPr>
        <w:t>大气环境质量保持稳定</w:t>
      </w:r>
      <w:r>
        <w:rPr>
          <w:rFonts w:hint="eastAsia" w:ascii="方正仿宋_GBK" w:hAnsi="方正仿宋_GBK" w:eastAsia="方正仿宋_GBK" w:cs="方正仿宋_GBK"/>
          <w:kern w:val="21"/>
          <w:highlight w:val="none"/>
        </w:rPr>
        <w:t>。</w:t>
      </w:r>
      <w:r>
        <w:rPr>
          <w:rFonts w:hint="eastAsia" w:ascii="方正仿宋_GBK" w:hAnsi="方正仿宋_GBK" w:eastAsia="方正仿宋_GBK" w:cs="方正仿宋_GBK"/>
          <w:szCs w:val="32"/>
          <w:highlight w:val="none"/>
        </w:rPr>
        <w:t>深入实施新一轮太湖治理“1+8”行动，</w:t>
      </w:r>
      <w:r>
        <w:rPr>
          <w:rFonts w:hint="eastAsia" w:ascii="方正仿宋_GBK" w:hAnsi="方正仿宋_GBK" w:eastAsia="方正仿宋_GBK" w:cs="方正仿宋_GBK"/>
          <w:kern w:val="21"/>
          <w:highlight w:val="none"/>
        </w:rPr>
        <w:t>开展通江河道及张家港河流域污染源深度排查治理，</w:t>
      </w:r>
      <w:r>
        <w:rPr>
          <w:rFonts w:hint="eastAsia" w:ascii="方正仿宋_GBK" w:hAnsi="方正仿宋_GBK" w:eastAsia="方正仿宋_GBK" w:cs="方正仿宋_GBK"/>
          <w:kern w:val="21"/>
          <w:highlight w:val="none"/>
          <w:lang w:val="en-US" w:eastAsia="zh-CN"/>
        </w:rPr>
        <w:t>加强农业面源污染治理，</w:t>
      </w:r>
      <w:r>
        <w:rPr>
          <w:rFonts w:hint="eastAsia" w:ascii="方正仿宋_GBK" w:hAnsi="方正仿宋_GBK" w:eastAsia="方正仿宋_GBK" w:cs="方正仿宋_GBK"/>
          <w:kern w:val="21"/>
          <w:highlight w:val="none"/>
        </w:rPr>
        <w:t>新建美丽幸福河湖120条，</w:t>
      </w:r>
      <w:r>
        <w:rPr>
          <w:rFonts w:hint="eastAsia" w:ascii="方正仿宋_GBK" w:hAnsi="方正仿宋_GBK" w:eastAsia="方正仿宋_GBK" w:cs="方正仿宋_GBK"/>
          <w:szCs w:val="32"/>
          <w:highlight w:val="none"/>
        </w:rPr>
        <w:t>确保国省考断面水质优III比例保持100%</w:t>
      </w:r>
      <w:r>
        <w:rPr>
          <w:rFonts w:hint="eastAsia" w:ascii="方正仿宋_GBK" w:hAnsi="方正仿宋_GBK" w:eastAsia="方正仿宋_GBK" w:cs="方正仿宋_GBK"/>
          <w:kern w:val="21"/>
          <w:highlight w:val="none"/>
        </w:rPr>
        <w:t>。</w:t>
      </w:r>
      <w:r>
        <w:rPr>
          <w:rFonts w:hint="eastAsia" w:ascii="方正仿宋_GBK" w:hAnsi="方正仿宋_GBK" w:eastAsia="方正仿宋_GBK" w:cs="方正仿宋_GBK"/>
          <w:color w:val="000000" w:themeColor="text1"/>
          <w:szCs w:val="32"/>
          <w:highlight w:val="none"/>
        </w:rPr>
        <w:t>开展重点建设用地土壤污染状况调查监督检查，</w:t>
      </w:r>
      <w:bookmarkStart w:id="2" w:name="OLE_LINK2"/>
      <w:bookmarkStart w:id="3" w:name="OLE_LINK1"/>
      <w:r>
        <w:rPr>
          <w:rFonts w:hint="eastAsia" w:ascii="方正仿宋_GBK" w:hAnsi="方正仿宋_GBK" w:eastAsia="方正仿宋_GBK" w:cs="方正仿宋_GBK"/>
          <w:color w:val="000000" w:themeColor="text1"/>
          <w:szCs w:val="32"/>
          <w:highlight w:val="none"/>
        </w:rPr>
        <w:t>健全一般工业固废、建筑垃圾全流程监管体系，</w:t>
      </w:r>
      <w:bookmarkEnd w:id="2"/>
      <w:bookmarkEnd w:id="3"/>
      <w:r>
        <w:rPr>
          <w:rFonts w:hint="eastAsia" w:ascii="方正仿宋_GBK" w:hAnsi="方正仿宋_GBK" w:eastAsia="方正仿宋_GBK" w:cs="方正仿宋_GBK"/>
          <w:color w:val="000000" w:themeColor="text1"/>
          <w:szCs w:val="32"/>
          <w:highlight w:val="none"/>
        </w:rPr>
        <w:t>持续展现“无废城市”建设成效</w:t>
      </w:r>
      <w:r>
        <w:rPr>
          <w:rFonts w:hint="eastAsia" w:ascii="方正仿宋_GBK" w:hAnsi="方正仿宋_GBK" w:eastAsia="方正仿宋_GBK" w:cs="方正仿宋_GBK"/>
          <w:kern w:val="21"/>
          <w:highlight w:val="none"/>
        </w:rPr>
        <w:t>。</w:t>
      </w:r>
      <w:r>
        <w:rPr>
          <w:rFonts w:hint="eastAsia" w:ascii="Times New Roman" w:eastAsia="方正楷体_GBK"/>
          <w:color w:val="000000"/>
          <w:highlight w:val="none"/>
        </w:rPr>
        <w:t>抓好生态文明建设。</w:t>
      </w:r>
      <w:r>
        <w:rPr>
          <w:rFonts w:hint="eastAsia" w:ascii="Times New Roman"/>
          <w:highlight w:val="none"/>
        </w:rPr>
        <w:t>完善林业资源、动物资源等精细化长效化管理制度，科学实施造林绿化</w:t>
      </w:r>
      <w:r>
        <w:rPr>
          <w:rFonts w:hint="eastAsia" w:ascii="Times New Roman" w:cs="方正仿宋_GBK"/>
          <w:kern w:val="21"/>
          <w:highlight w:val="none"/>
        </w:rPr>
        <w:t>、湿地建设。</w:t>
      </w:r>
      <w:r>
        <w:rPr>
          <w:rFonts w:hint="eastAsia" w:ascii="Times New Roman" w:hAnsi="Times New Roman" w:eastAsia="方正仿宋_GBK" w:cs="方正仿宋_GBK"/>
          <w:color w:val="000000" w:themeColor="text1"/>
          <w:szCs w:val="32"/>
          <w:highlight w:val="none"/>
        </w:rPr>
        <w:t>继续推进“百亿百项”生态环境基础设施工程项目，完成临港工业污水厂等54项年度重点任务建设</w:t>
      </w:r>
      <w:r>
        <w:rPr>
          <w:rFonts w:hint="eastAsia" w:ascii="Times New Roman" w:hAnsi="Times New Roman" w:eastAsia="方正仿宋_GBK" w:cs="方正仿宋_GBK"/>
          <w:color w:val="000000" w:themeColor="text1"/>
          <w:szCs w:val="32"/>
          <w:highlight w:val="none"/>
          <w:lang w:eastAsia="zh-CN"/>
        </w:rPr>
        <w:t>。</w:t>
      </w:r>
      <w:r>
        <w:rPr>
          <w:rFonts w:hint="eastAsia" w:ascii="Times New Roman" w:hAnsi="Times New Roman" w:eastAsia="方正仿宋_GBK" w:cs="方正仿宋_GBK"/>
          <w:color w:val="000000" w:themeColor="text1"/>
          <w:szCs w:val="32"/>
          <w:highlight w:val="none"/>
        </w:rPr>
        <w:t>从严抓好长江“十年禁渔”任务，放流各类鱼类47万尾，建设生物多样性观测网络，持续改善长江水生态系统。</w:t>
      </w:r>
    </w:p>
    <w:p w14:paraId="2E183893">
      <w:pPr>
        <w:spacing w:line="580" w:lineRule="exact"/>
        <w:ind w:firstLine="604" w:firstLineChars="200"/>
        <w:rPr>
          <w:rFonts w:ascii="Times New Roman"/>
          <w:bCs/>
          <w:highlight w:val="none"/>
        </w:rPr>
      </w:pPr>
      <w:r>
        <w:rPr>
          <w:rFonts w:hint="eastAsia" w:ascii="Times New Roman" w:eastAsia="方正楷体_GBK" w:cs="仿宋"/>
          <w:b/>
          <w:kern w:val="2"/>
          <w:highlight w:val="none"/>
        </w:rPr>
        <w:t>（六）优化公共服务供给，满足人民美好生活。</w:t>
      </w:r>
      <w:r>
        <w:rPr>
          <w:rFonts w:hint="eastAsia" w:ascii="Times New Roman" w:eastAsia="方正楷体_GBK"/>
          <w:color w:val="000000"/>
          <w:highlight w:val="none"/>
        </w:rPr>
        <w:t>全力稳就业促增收。</w:t>
      </w:r>
      <w:r>
        <w:rPr>
          <w:rFonts w:ascii="Times New Roman"/>
          <w:highlight w:val="none"/>
        </w:rPr>
        <w:t>优化高质量充分就业政策体系，</w:t>
      </w:r>
      <w:r>
        <w:rPr>
          <w:rFonts w:hint="eastAsia" w:ascii="Times New Roman"/>
          <w:highlight w:val="none"/>
        </w:rPr>
        <w:t>加大就业困难人员帮</w:t>
      </w:r>
      <w:r>
        <w:rPr>
          <w:rFonts w:hint="eastAsia" w:ascii="Times New Roman"/>
          <w:color w:val="000000"/>
          <w:highlight w:val="none"/>
        </w:rPr>
        <w:t>扶力度，</w:t>
      </w:r>
      <w:r>
        <w:rPr>
          <w:rFonts w:hint="eastAsia" w:ascii="Times New Roman"/>
          <w:highlight w:val="none"/>
        </w:rPr>
        <w:t>全年提供就业岗位超6.2万个，帮助就业困难人员实现就业2700人，</w:t>
      </w:r>
      <w:r>
        <w:rPr>
          <w:rFonts w:hint="eastAsia" w:ascii="Times New Roman"/>
          <w:color w:val="000000"/>
          <w:highlight w:val="none"/>
        </w:rPr>
        <w:t>全年扶持自主创业2800人、带动就业1.1万人。</w:t>
      </w:r>
      <w:r>
        <w:rPr>
          <w:rFonts w:hint="eastAsia" w:ascii="Times New Roman" w:eastAsia="方正楷体_GBK"/>
          <w:color w:val="000000"/>
          <w:highlight w:val="none"/>
        </w:rPr>
        <w:t>健全社会保障体系。</w:t>
      </w:r>
      <w:r>
        <w:rPr>
          <w:rFonts w:ascii="Times New Roman"/>
          <w:kern w:val="2"/>
          <w:highlight w:val="none"/>
        </w:rPr>
        <w:t>社保</w:t>
      </w:r>
      <w:r>
        <w:rPr>
          <w:rFonts w:hint="eastAsia" w:ascii="Times New Roman"/>
          <w:kern w:val="2"/>
          <w:highlight w:val="none"/>
        </w:rPr>
        <w:t>扩面新增3万人以上，城乡居民基本养老保险保障水平、企业退休人员养老保险待遇稳步提升。完善社会救助扩围增效政策，及时调整居民最低生活保障标准、特困人员基本生活标准。</w:t>
      </w:r>
      <w:r>
        <w:rPr>
          <w:rFonts w:hint="eastAsia" w:ascii="Times New Roman" w:eastAsia="方正楷体_GBK"/>
          <w:color w:val="000000"/>
          <w:highlight w:val="none"/>
        </w:rPr>
        <w:t>提升公共服务水平。</w:t>
      </w:r>
      <w:r>
        <w:rPr>
          <w:rFonts w:hint="eastAsia" w:ascii="Times New Roman" w:hAnsi="Times New Roman" w:eastAsia="方正仿宋_GBK"/>
          <w:kern w:val="2"/>
          <w:sz w:val="32"/>
          <w:szCs w:val="32"/>
          <w:highlight w:val="none"/>
        </w:rPr>
        <w:t>南京师范大学附属江阴实验小学</w:t>
      </w:r>
      <w:r>
        <w:rPr>
          <w:rFonts w:hint="eastAsia" w:ascii="Times New Roman"/>
          <w:kern w:val="2"/>
          <w:highlight w:val="none"/>
        </w:rPr>
        <w:t>建成投用，加快推进南菁高中实验学校城西校区、南菁高中绮山湖校区等重点项目建设。</w:t>
      </w:r>
      <w:r>
        <w:rPr>
          <w:rFonts w:hint="eastAsia" w:ascii="Times New Roman" w:hAnsi="Times New Roman" w:eastAsia="方正仿宋_GBK" w:cs="方正仿宋_GBK"/>
          <w:color w:val="000000" w:themeColor="text1"/>
          <w:highlight w:val="none"/>
          <w:u w:val="none"/>
          <w:lang w:val="en-US" w:eastAsia="zh-CN"/>
        </w:rPr>
        <w:t>启动市精神卫生中心大楼新建项目，加快市紧急医学救援中心建设，年内建成投用市妇幼保健院、江阴口腔医院</w:t>
      </w:r>
      <w:r>
        <w:rPr>
          <w:rFonts w:hint="eastAsia" w:ascii="Times New Roman"/>
          <w:bCs/>
          <w:highlight w:val="none"/>
        </w:rPr>
        <w:t>。</w:t>
      </w:r>
      <w:r>
        <w:rPr>
          <w:rFonts w:hint="eastAsia" w:ascii="Times New Roman" w:hAnsi="Times New Roman" w:eastAsia="方正仿宋_GBK" w:cs="方正仿宋_GBK"/>
          <w:color w:val="000000" w:themeColor="text1"/>
          <w:highlight w:val="none"/>
          <w:u w:val="none"/>
          <w:lang w:val="en-US" w:eastAsia="zh-CN"/>
        </w:rPr>
        <w:t>加强老年人家庭适老化改造，试点推行“银龄卡”，提档升级20个惠老助餐中心（点）</w:t>
      </w:r>
      <w:r>
        <w:rPr>
          <w:rFonts w:hint="eastAsia" w:ascii="Times New Roman" w:cs="方正仿宋_GBK"/>
          <w:highlight w:val="none"/>
        </w:rPr>
        <w:t>，基本养老服务保障达标率达100%。</w:t>
      </w:r>
      <w:r>
        <w:rPr>
          <w:rFonts w:hint="eastAsia" w:ascii="Times New Roman" w:hAnsi="Times New Roman" w:eastAsia="方正仿宋_GBK" w:cs="方正仿宋_GBK"/>
          <w:color w:val="000000" w:themeColor="text1"/>
          <w:highlight w:val="none"/>
          <w:u w:val="none"/>
          <w:lang w:val="en-US" w:eastAsia="zh-CN"/>
        </w:rPr>
        <w:t>积极探索托幼一体化服务新模式，鼓励有条件的幼儿园开设托班，新增普惠托育机构2家</w:t>
      </w:r>
      <w:r>
        <w:rPr>
          <w:rFonts w:ascii="Times New Roman"/>
          <w:bCs/>
          <w:highlight w:val="none"/>
        </w:rPr>
        <w:t>。</w:t>
      </w:r>
      <w:r>
        <w:rPr>
          <w:rFonts w:hint="eastAsia" w:ascii="方正仿宋_GBK" w:hAnsi="方正仿宋_GBK" w:eastAsia="方正仿宋_GBK" w:cs="方正仿宋_GBK"/>
          <w:highlight w:val="none"/>
          <w:lang w:val="en-US" w:eastAsia="zh-CN"/>
        </w:rPr>
        <w:t>拓展艺风书房、艺风微书房、“三味书咖”城市布点3—5家，“澄艺快递”配送优质文化资源直达基层600场以上</w:t>
      </w:r>
      <w:r>
        <w:rPr>
          <w:rFonts w:hint="eastAsia" w:hAnsi="方正仿宋_GBK" w:cs="方正仿宋_GBK"/>
          <w:highlight w:val="none"/>
          <w:lang w:val="en-US" w:eastAsia="zh-CN"/>
        </w:rPr>
        <w:t>。</w:t>
      </w:r>
      <w:r>
        <w:rPr>
          <w:rFonts w:hint="eastAsia" w:ascii="方正仿宋_GBK" w:hAnsi="方正仿宋_GBK" w:eastAsia="方正仿宋_GBK" w:cs="方正仿宋_GBK"/>
          <w:highlight w:val="none"/>
          <w:lang w:val="en-US" w:eastAsia="zh-CN"/>
        </w:rPr>
        <w:t>办好半程马拉松等市级重大赛事活动，做好武术散打世界杯等省级以上体育竞赛承办工作。</w:t>
      </w:r>
      <w:r>
        <w:rPr>
          <w:rFonts w:hint="eastAsia" w:ascii="Times New Roman" w:eastAsia="方正楷体_GBK"/>
          <w:color w:val="000000"/>
          <w:highlight w:val="none"/>
        </w:rPr>
        <w:t>更好统筹安全发展。</w:t>
      </w:r>
      <w:r>
        <w:rPr>
          <w:rFonts w:hint="eastAsia" w:ascii="Times New Roman"/>
          <w:highlight w:val="none"/>
        </w:rPr>
        <w:t>持续深化治本攻坚三年行动，紧盯危化品、“厂中厂”、纺织化纤、电动自行车、深井铸造等重点</w:t>
      </w:r>
      <w:r>
        <w:rPr>
          <w:rFonts w:hint="eastAsia" w:ascii="Times New Roman"/>
          <w:color w:val="000000" w:themeColor="text1"/>
          <w:highlight w:val="none"/>
        </w:rPr>
        <w:t>行业领域，加快全链条专项整治。</w:t>
      </w:r>
      <w:r>
        <w:rPr>
          <w:rFonts w:hint="eastAsia" w:ascii="Times New Roman" w:cs="方正仿宋_GBK"/>
          <w:highlight w:val="none"/>
        </w:rPr>
        <w:t>深化法治江阴建设。组织开展“化解矛盾风险维护社会稳定”专项治理工作，做好重点领域信访突出问题化解，维护社会和谐稳定。持续</w:t>
      </w:r>
      <w:r>
        <w:rPr>
          <w:rFonts w:hint="eastAsia" w:ascii="Times New Roman"/>
          <w:color w:val="000000" w:themeColor="text1"/>
          <w:highlight w:val="none"/>
        </w:rPr>
        <w:t>推进“雪亮工程”建设，加快打造平安建设县域样本。</w:t>
      </w:r>
    </w:p>
    <w:p w14:paraId="3E28A9CA">
      <w:pPr>
        <w:overflowPunct w:val="0"/>
        <w:spacing w:line="580" w:lineRule="exact"/>
        <w:ind w:firstLine="588" w:firstLineChars="200"/>
        <w:rPr>
          <w:rFonts w:ascii="Times New Roman"/>
          <w:spacing w:val="-4"/>
          <w:kern w:val="2"/>
          <w:highlight w:val="none"/>
        </w:rPr>
      </w:pPr>
    </w:p>
    <w:p w14:paraId="14A047F7">
      <w:pPr>
        <w:spacing w:line="580" w:lineRule="exact"/>
        <w:ind w:left="1812" w:leftChars="200" w:hanging="1208" w:hangingChars="400"/>
        <w:rPr>
          <w:rFonts w:ascii="Times New Roman"/>
          <w:kern w:val="2"/>
          <w:highlight w:val="none"/>
        </w:rPr>
      </w:pPr>
      <w:r>
        <w:rPr>
          <w:rFonts w:hint="eastAsia" w:ascii="Times New Roman"/>
          <w:kern w:val="2"/>
          <w:highlight w:val="none"/>
        </w:rPr>
        <w:t>附件：1、江阴市2024年国民经济和社会发展主要指标完成</w:t>
      </w:r>
    </w:p>
    <w:p w14:paraId="08F78375">
      <w:pPr>
        <w:spacing w:line="580" w:lineRule="exact"/>
        <w:ind w:left="1812" w:leftChars="600" w:firstLine="148" w:firstLineChars="49"/>
        <w:rPr>
          <w:rFonts w:ascii="Times New Roman"/>
          <w:kern w:val="2"/>
          <w:highlight w:val="none"/>
        </w:rPr>
      </w:pPr>
      <w:r>
        <w:rPr>
          <w:rFonts w:hint="eastAsia" w:ascii="Times New Roman"/>
          <w:kern w:val="2"/>
          <w:highlight w:val="none"/>
        </w:rPr>
        <w:t>情况</w:t>
      </w:r>
    </w:p>
    <w:p w14:paraId="2AD0DC55">
      <w:pPr>
        <w:spacing w:line="580" w:lineRule="exact"/>
        <w:ind w:firstLine="1510" w:firstLineChars="500"/>
        <w:jc w:val="left"/>
        <w:rPr>
          <w:rFonts w:ascii="Times New Roman"/>
          <w:kern w:val="2"/>
          <w:highlight w:val="none"/>
        </w:rPr>
      </w:pPr>
      <w:r>
        <w:rPr>
          <w:rFonts w:hint="eastAsia" w:ascii="Times New Roman"/>
          <w:kern w:val="2"/>
          <w:highlight w:val="none"/>
        </w:rPr>
        <w:t>2、江阴市2025年国民经济和社会发展目标建议</w:t>
      </w:r>
    </w:p>
    <w:p w14:paraId="5549DCEA">
      <w:pPr>
        <w:overflowPunct w:val="0"/>
        <w:spacing w:line="580" w:lineRule="exact"/>
        <w:ind w:firstLine="1510" w:firstLineChars="500"/>
        <w:jc w:val="left"/>
        <w:rPr>
          <w:rFonts w:ascii="Times New Roman"/>
          <w:kern w:val="2"/>
          <w:highlight w:val="none"/>
        </w:rPr>
      </w:pPr>
      <w:r>
        <w:rPr>
          <w:rFonts w:hint="eastAsia" w:ascii="Times New Roman"/>
          <w:kern w:val="2"/>
          <w:highlight w:val="none"/>
        </w:rPr>
        <w:t>3、江阴市2025年保障性安居房建设工程项目表</w:t>
      </w:r>
    </w:p>
    <w:p w14:paraId="3C92E92D">
      <w:pPr>
        <w:rPr>
          <w:rFonts w:ascii="Times New Roman" w:eastAsia="方正黑体_GBK" w:cs="方正黑体_GBK"/>
          <w:color w:val="000000"/>
          <w:kern w:val="2"/>
          <w:highlight w:val="none"/>
        </w:rPr>
      </w:pPr>
      <w:r>
        <w:rPr>
          <w:rFonts w:ascii="Times New Roman"/>
          <w:kern w:val="2"/>
          <w:highlight w:val="none"/>
        </w:rPr>
        <w:br w:type="page"/>
      </w:r>
      <w:r>
        <w:rPr>
          <w:rFonts w:hint="eastAsia" w:ascii="Times New Roman" w:eastAsia="方正黑体_GBK" w:cs="方正黑体_GBK"/>
          <w:color w:val="000000"/>
          <w:kern w:val="2"/>
          <w:highlight w:val="none"/>
        </w:rPr>
        <w:t>附件1</w:t>
      </w:r>
    </w:p>
    <w:p w14:paraId="173A2865">
      <w:pPr>
        <w:overflowPunct w:val="0"/>
        <w:spacing w:line="0" w:lineRule="atLeast"/>
        <w:jc w:val="center"/>
        <w:rPr>
          <w:rFonts w:ascii="Times New Roman" w:eastAsia="方正小标宋_GBK"/>
          <w:kern w:val="42"/>
          <w:sz w:val="44"/>
          <w:szCs w:val="44"/>
          <w:highlight w:val="none"/>
        </w:rPr>
      </w:pPr>
      <w:r>
        <w:rPr>
          <w:rFonts w:hint="eastAsia" w:ascii="Times New Roman" w:eastAsia="方正小标宋_GBK"/>
          <w:kern w:val="42"/>
          <w:sz w:val="44"/>
          <w:szCs w:val="44"/>
          <w:highlight w:val="none"/>
        </w:rPr>
        <w:t>江阴市2024年国民经济和社会发展</w:t>
      </w:r>
    </w:p>
    <w:p w14:paraId="40DAAC40">
      <w:pPr>
        <w:overflowPunct w:val="0"/>
        <w:spacing w:after="290" w:afterLines="50" w:line="0" w:lineRule="atLeast"/>
        <w:jc w:val="center"/>
        <w:rPr>
          <w:rFonts w:ascii="Times New Roman" w:eastAsia="方正小标宋_GBK"/>
          <w:kern w:val="42"/>
          <w:sz w:val="44"/>
          <w:szCs w:val="44"/>
          <w:highlight w:val="none"/>
        </w:rPr>
      </w:pPr>
      <w:r>
        <w:rPr>
          <w:rFonts w:hint="eastAsia" w:ascii="Times New Roman" w:eastAsia="方正小标宋_GBK"/>
          <w:kern w:val="42"/>
          <w:sz w:val="44"/>
          <w:szCs w:val="44"/>
          <w:highlight w:val="none"/>
        </w:rPr>
        <w:t>主要指标完成情况</w:t>
      </w:r>
    </w:p>
    <w:tbl>
      <w:tblPr>
        <w:tblStyle w:val="11"/>
        <w:tblW w:w="896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341"/>
        <w:gridCol w:w="2415"/>
        <w:gridCol w:w="2578"/>
      </w:tblGrid>
      <w:tr w14:paraId="7F8F50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1" w:type="dxa"/>
            <w:noWrap/>
            <w:vAlign w:val="center"/>
          </w:tcPr>
          <w:p w14:paraId="2763867E">
            <w:pPr>
              <w:overflowPunct w:val="0"/>
              <w:spacing w:line="0" w:lineRule="atLeast"/>
              <w:ind w:left="-151" w:leftChars="-50" w:right="-151" w:rightChars="-50"/>
              <w:jc w:val="center"/>
              <w:rPr>
                <w:rFonts w:ascii="Times New Roman" w:eastAsia="方正黑体_GBK"/>
                <w:sz w:val="24"/>
                <w:highlight w:val="none"/>
              </w:rPr>
            </w:pPr>
            <w:r>
              <w:rPr>
                <w:rFonts w:hint="eastAsia" w:ascii="Times New Roman" w:eastAsia="方正黑体_GBK"/>
                <w:sz w:val="24"/>
                <w:highlight w:val="none"/>
              </w:rPr>
              <w:t>序号</w:t>
            </w:r>
          </w:p>
        </w:tc>
        <w:tc>
          <w:tcPr>
            <w:tcW w:w="3341" w:type="dxa"/>
            <w:noWrap/>
            <w:vAlign w:val="center"/>
          </w:tcPr>
          <w:p w14:paraId="30C0A759">
            <w:pPr>
              <w:overflowPunct w:val="0"/>
              <w:spacing w:line="0" w:lineRule="atLeast"/>
              <w:ind w:left="-151" w:leftChars="-50" w:right="-151" w:rightChars="-50"/>
              <w:jc w:val="center"/>
              <w:rPr>
                <w:rFonts w:ascii="Times New Roman" w:eastAsia="方正黑体_GBK"/>
                <w:sz w:val="24"/>
                <w:highlight w:val="none"/>
              </w:rPr>
            </w:pPr>
            <w:r>
              <w:rPr>
                <w:rFonts w:hint="eastAsia" w:ascii="Times New Roman" w:eastAsia="方正黑体_GBK"/>
                <w:sz w:val="24"/>
                <w:highlight w:val="none"/>
              </w:rPr>
              <w:t>指标</w:t>
            </w:r>
          </w:p>
        </w:tc>
        <w:tc>
          <w:tcPr>
            <w:tcW w:w="2415" w:type="dxa"/>
            <w:noWrap/>
            <w:vAlign w:val="center"/>
          </w:tcPr>
          <w:p w14:paraId="336F6DF8">
            <w:pPr>
              <w:overflowPunct w:val="0"/>
              <w:spacing w:line="0" w:lineRule="atLeast"/>
              <w:ind w:left="-151" w:leftChars="-50" w:right="-151" w:rightChars="-50"/>
              <w:jc w:val="center"/>
              <w:rPr>
                <w:rFonts w:ascii="Times New Roman" w:eastAsia="方正黑体_GBK"/>
                <w:sz w:val="24"/>
                <w:highlight w:val="none"/>
              </w:rPr>
            </w:pPr>
            <w:r>
              <w:rPr>
                <w:rFonts w:ascii="Times New Roman" w:eastAsia="方正黑体_GBK"/>
                <w:sz w:val="24"/>
                <w:highlight w:val="none"/>
              </w:rPr>
              <w:t>202</w:t>
            </w:r>
            <w:r>
              <w:rPr>
                <w:rFonts w:hint="eastAsia" w:ascii="Times New Roman" w:eastAsia="方正黑体_GBK"/>
                <w:sz w:val="24"/>
                <w:highlight w:val="none"/>
              </w:rPr>
              <w:t>4年计划目标</w:t>
            </w:r>
          </w:p>
        </w:tc>
        <w:tc>
          <w:tcPr>
            <w:tcW w:w="2578" w:type="dxa"/>
            <w:noWrap/>
            <w:vAlign w:val="center"/>
          </w:tcPr>
          <w:p w14:paraId="17104389">
            <w:pPr>
              <w:spacing w:line="0" w:lineRule="atLeast"/>
              <w:ind w:left="-151" w:leftChars="-50" w:right="-151" w:rightChars="-50"/>
              <w:jc w:val="center"/>
              <w:rPr>
                <w:rFonts w:ascii="Times New Roman" w:eastAsia="方正黑体_GBK"/>
                <w:sz w:val="24"/>
                <w:highlight w:val="none"/>
              </w:rPr>
            </w:pPr>
            <w:r>
              <w:rPr>
                <w:rFonts w:ascii="Times New Roman" w:eastAsia="方正黑体_GBK"/>
                <w:sz w:val="24"/>
                <w:highlight w:val="none"/>
              </w:rPr>
              <w:t>202</w:t>
            </w:r>
            <w:r>
              <w:rPr>
                <w:rFonts w:hint="eastAsia" w:ascii="Times New Roman" w:eastAsia="方正黑体_GBK"/>
                <w:sz w:val="24"/>
                <w:highlight w:val="none"/>
              </w:rPr>
              <w:t>4年全年预计</w:t>
            </w:r>
          </w:p>
        </w:tc>
      </w:tr>
      <w:tr w14:paraId="563F6F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noWrap/>
            <w:vAlign w:val="center"/>
          </w:tcPr>
          <w:p w14:paraId="6C1EFAB9">
            <w:pPr>
              <w:overflowPunct w:val="0"/>
              <w:spacing w:line="0" w:lineRule="atLeast"/>
              <w:jc w:val="center"/>
              <w:rPr>
                <w:rFonts w:ascii="Times New Roman" w:eastAsia="方正楷体_GBK"/>
                <w:sz w:val="24"/>
                <w:highlight w:val="none"/>
              </w:rPr>
            </w:pPr>
            <w:r>
              <w:rPr>
                <w:rFonts w:ascii="Times New Roman" w:eastAsia="方正楷体_GBK"/>
                <w:sz w:val="24"/>
                <w:highlight w:val="none"/>
              </w:rPr>
              <w:t>1</w:t>
            </w:r>
          </w:p>
        </w:tc>
        <w:tc>
          <w:tcPr>
            <w:tcW w:w="3341" w:type="dxa"/>
            <w:noWrap/>
            <w:vAlign w:val="center"/>
          </w:tcPr>
          <w:p w14:paraId="7CE4867B">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地区生产总值</w:t>
            </w:r>
          </w:p>
        </w:tc>
        <w:tc>
          <w:tcPr>
            <w:tcW w:w="2415" w:type="dxa"/>
            <w:noWrap/>
            <w:vAlign w:val="center"/>
          </w:tcPr>
          <w:p w14:paraId="0B40C659">
            <w:pPr>
              <w:overflowPunct w:val="0"/>
              <w:spacing w:line="300" w:lineRule="exact"/>
              <w:jc w:val="center"/>
              <w:rPr>
                <w:rFonts w:ascii="Times New Roman" w:eastAsia="方正楷体_GBK"/>
                <w:kern w:val="2"/>
                <w:sz w:val="24"/>
                <w:szCs w:val="24"/>
                <w:highlight w:val="none"/>
              </w:rPr>
            </w:pPr>
            <w:r>
              <w:rPr>
                <w:rFonts w:hint="eastAsia" w:ascii="Times New Roman" w:eastAsia="方正楷体_GBK"/>
                <w:kern w:val="2"/>
                <w:sz w:val="24"/>
                <w:highlight w:val="none"/>
              </w:rPr>
              <w:t>5%以上</w:t>
            </w:r>
          </w:p>
        </w:tc>
        <w:tc>
          <w:tcPr>
            <w:tcW w:w="2578" w:type="dxa"/>
            <w:noWrap/>
            <w:vAlign w:val="center"/>
          </w:tcPr>
          <w:p w14:paraId="10CA0729">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6%左右</w:t>
            </w:r>
          </w:p>
        </w:tc>
      </w:tr>
      <w:tr w14:paraId="68A75D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noWrap/>
            <w:vAlign w:val="center"/>
          </w:tcPr>
          <w:p w14:paraId="5C1DBA9A">
            <w:pPr>
              <w:overflowPunct w:val="0"/>
              <w:spacing w:line="0" w:lineRule="atLeast"/>
              <w:jc w:val="center"/>
              <w:rPr>
                <w:rFonts w:ascii="Times New Roman" w:eastAsia="方正楷体_GBK"/>
                <w:sz w:val="24"/>
                <w:highlight w:val="none"/>
              </w:rPr>
            </w:pPr>
            <w:r>
              <w:rPr>
                <w:rFonts w:ascii="Times New Roman" w:eastAsia="方正楷体_GBK"/>
                <w:sz w:val="24"/>
                <w:highlight w:val="none"/>
              </w:rPr>
              <w:t>2</w:t>
            </w:r>
          </w:p>
        </w:tc>
        <w:tc>
          <w:tcPr>
            <w:tcW w:w="3341" w:type="dxa"/>
            <w:noWrap/>
            <w:vAlign w:val="center"/>
          </w:tcPr>
          <w:p w14:paraId="22E06AB9">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一般公共预算收入</w:t>
            </w:r>
          </w:p>
        </w:tc>
        <w:tc>
          <w:tcPr>
            <w:tcW w:w="2415" w:type="dxa"/>
            <w:noWrap/>
            <w:vAlign w:val="center"/>
          </w:tcPr>
          <w:p w14:paraId="3FD512DF">
            <w:pPr>
              <w:overflowPunct w:val="0"/>
              <w:spacing w:line="300" w:lineRule="exact"/>
              <w:jc w:val="center"/>
              <w:rPr>
                <w:rFonts w:ascii="Times New Roman" w:eastAsia="方正楷体_GBK"/>
                <w:kern w:val="2"/>
                <w:sz w:val="24"/>
                <w:szCs w:val="24"/>
                <w:highlight w:val="none"/>
              </w:rPr>
            </w:pPr>
            <w:r>
              <w:rPr>
                <w:rFonts w:hint="eastAsia" w:ascii="Times New Roman" w:eastAsia="方正楷体_GBK"/>
                <w:kern w:val="2"/>
                <w:sz w:val="24"/>
                <w:highlight w:val="none"/>
              </w:rPr>
              <w:t>1.2%</w:t>
            </w:r>
          </w:p>
        </w:tc>
        <w:tc>
          <w:tcPr>
            <w:tcW w:w="2578" w:type="dxa"/>
            <w:noWrap/>
            <w:vAlign w:val="center"/>
          </w:tcPr>
          <w:p w14:paraId="41D64096">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1.</w:t>
            </w:r>
            <w:r>
              <w:rPr>
                <w:rFonts w:hint="eastAsia" w:ascii="Times New Roman" w:eastAsia="方正楷体_GBK"/>
                <w:sz w:val="24"/>
                <w:highlight w:val="none"/>
                <w:lang w:val="en-US" w:eastAsia="zh-CN"/>
              </w:rPr>
              <w:t>6</w:t>
            </w:r>
            <w:r>
              <w:rPr>
                <w:rFonts w:hint="eastAsia" w:ascii="Times New Roman" w:eastAsia="方正楷体_GBK"/>
                <w:sz w:val="24"/>
                <w:highlight w:val="none"/>
              </w:rPr>
              <w:t>%</w:t>
            </w:r>
          </w:p>
        </w:tc>
      </w:tr>
      <w:tr w14:paraId="5C7F56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noWrap/>
            <w:vAlign w:val="center"/>
          </w:tcPr>
          <w:p w14:paraId="2419D242">
            <w:pPr>
              <w:overflowPunct w:val="0"/>
              <w:spacing w:line="0" w:lineRule="atLeast"/>
              <w:jc w:val="center"/>
              <w:rPr>
                <w:rFonts w:ascii="Times New Roman" w:eastAsia="方正楷体_GBK"/>
                <w:sz w:val="24"/>
                <w:highlight w:val="none"/>
              </w:rPr>
            </w:pPr>
            <w:r>
              <w:rPr>
                <w:rFonts w:ascii="Times New Roman" w:eastAsia="方正楷体_GBK"/>
                <w:sz w:val="24"/>
                <w:highlight w:val="none"/>
              </w:rPr>
              <w:t>3</w:t>
            </w:r>
          </w:p>
        </w:tc>
        <w:tc>
          <w:tcPr>
            <w:tcW w:w="3341" w:type="dxa"/>
            <w:noWrap/>
            <w:vAlign w:val="center"/>
          </w:tcPr>
          <w:p w14:paraId="33DACB68">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规模以上工业增加值</w:t>
            </w:r>
          </w:p>
        </w:tc>
        <w:tc>
          <w:tcPr>
            <w:tcW w:w="2415" w:type="dxa"/>
            <w:noWrap/>
            <w:vAlign w:val="center"/>
          </w:tcPr>
          <w:p w14:paraId="474DB1EE">
            <w:pPr>
              <w:overflowPunct w:val="0"/>
              <w:spacing w:line="300" w:lineRule="exact"/>
              <w:jc w:val="center"/>
              <w:rPr>
                <w:rFonts w:ascii="Times New Roman" w:eastAsia="方正楷体_GBK"/>
                <w:kern w:val="2"/>
                <w:sz w:val="24"/>
                <w:szCs w:val="24"/>
                <w:highlight w:val="none"/>
              </w:rPr>
            </w:pPr>
            <w:r>
              <w:rPr>
                <w:rFonts w:hint="eastAsia" w:ascii="Times New Roman" w:eastAsia="方正楷体_GBK"/>
                <w:kern w:val="2"/>
                <w:sz w:val="24"/>
                <w:highlight w:val="none"/>
              </w:rPr>
              <w:t>6%</w:t>
            </w:r>
          </w:p>
        </w:tc>
        <w:tc>
          <w:tcPr>
            <w:tcW w:w="2578" w:type="dxa"/>
            <w:noWrap/>
            <w:vAlign w:val="center"/>
          </w:tcPr>
          <w:p w14:paraId="6F7AD93D">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7</w:t>
            </w:r>
            <w:r>
              <w:rPr>
                <w:rFonts w:hint="eastAsia" w:ascii="Times New Roman" w:eastAsia="方正楷体_GBK"/>
                <w:sz w:val="24"/>
                <w:highlight w:val="none"/>
                <w:lang w:val="en-US" w:eastAsia="zh-CN"/>
              </w:rPr>
              <w:t>.3</w:t>
            </w:r>
            <w:r>
              <w:rPr>
                <w:rFonts w:hint="eastAsia" w:ascii="Times New Roman" w:eastAsia="方正楷体_GBK"/>
                <w:sz w:val="24"/>
                <w:highlight w:val="none"/>
              </w:rPr>
              <w:t>%以上</w:t>
            </w:r>
          </w:p>
        </w:tc>
      </w:tr>
      <w:tr w14:paraId="02624F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noWrap/>
            <w:vAlign w:val="center"/>
          </w:tcPr>
          <w:p w14:paraId="0A08D4DD">
            <w:pPr>
              <w:overflowPunct w:val="0"/>
              <w:spacing w:line="0" w:lineRule="atLeast"/>
              <w:jc w:val="center"/>
              <w:rPr>
                <w:rFonts w:ascii="Times New Roman" w:eastAsia="方正楷体_GBK"/>
                <w:sz w:val="24"/>
                <w:highlight w:val="none"/>
              </w:rPr>
            </w:pPr>
            <w:r>
              <w:rPr>
                <w:rFonts w:ascii="Times New Roman" w:eastAsia="方正楷体_GBK"/>
                <w:sz w:val="24"/>
                <w:highlight w:val="none"/>
              </w:rPr>
              <w:t>4</w:t>
            </w:r>
          </w:p>
        </w:tc>
        <w:tc>
          <w:tcPr>
            <w:tcW w:w="3341" w:type="dxa"/>
            <w:noWrap/>
            <w:vAlign w:val="center"/>
          </w:tcPr>
          <w:p w14:paraId="729A3E08">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规上服务业营业收入</w:t>
            </w:r>
          </w:p>
        </w:tc>
        <w:tc>
          <w:tcPr>
            <w:tcW w:w="2415" w:type="dxa"/>
            <w:noWrap/>
            <w:vAlign w:val="center"/>
          </w:tcPr>
          <w:p w14:paraId="4EEEA671">
            <w:pPr>
              <w:overflowPunct w:val="0"/>
              <w:spacing w:line="300" w:lineRule="exact"/>
              <w:jc w:val="center"/>
              <w:rPr>
                <w:rFonts w:ascii="Times New Roman" w:eastAsia="方正楷体_GBK"/>
                <w:kern w:val="2"/>
                <w:sz w:val="24"/>
                <w:szCs w:val="24"/>
                <w:highlight w:val="none"/>
              </w:rPr>
            </w:pPr>
            <w:r>
              <w:rPr>
                <w:rFonts w:hint="eastAsia" w:ascii="Times New Roman" w:eastAsia="方正楷体_GBK"/>
                <w:kern w:val="2"/>
                <w:sz w:val="24"/>
                <w:highlight w:val="none"/>
              </w:rPr>
              <w:t>5%左右</w:t>
            </w:r>
          </w:p>
        </w:tc>
        <w:tc>
          <w:tcPr>
            <w:tcW w:w="2578" w:type="dxa"/>
            <w:noWrap/>
            <w:vAlign w:val="center"/>
          </w:tcPr>
          <w:p w14:paraId="48810618">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正增长</w:t>
            </w:r>
          </w:p>
        </w:tc>
      </w:tr>
      <w:tr w14:paraId="2D083E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noWrap/>
            <w:vAlign w:val="center"/>
          </w:tcPr>
          <w:p w14:paraId="0C381881">
            <w:pPr>
              <w:overflowPunct w:val="0"/>
              <w:spacing w:line="0" w:lineRule="atLeast"/>
              <w:jc w:val="center"/>
              <w:rPr>
                <w:rFonts w:ascii="Times New Roman" w:eastAsia="方正楷体_GBK"/>
                <w:sz w:val="24"/>
                <w:highlight w:val="none"/>
              </w:rPr>
            </w:pPr>
            <w:r>
              <w:rPr>
                <w:rFonts w:ascii="Times New Roman" w:eastAsia="方正楷体_GBK"/>
                <w:sz w:val="24"/>
                <w:highlight w:val="none"/>
              </w:rPr>
              <w:t>5</w:t>
            </w:r>
          </w:p>
        </w:tc>
        <w:tc>
          <w:tcPr>
            <w:tcW w:w="3341" w:type="dxa"/>
            <w:noWrap/>
            <w:vAlign w:val="center"/>
          </w:tcPr>
          <w:p w14:paraId="2CCBF78D">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固定资产投资</w:t>
            </w:r>
          </w:p>
        </w:tc>
        <w:tc>
          <w:tcPr>
            <w:tcW w:w="2415" w:type="dxa"/>
            <w:noWrap/>
            <w:vAlign w:val="center"/>
          </w:tcPr>
          <w:p w14:paraId="54436F72">
            <w:pPr>
              <w:overflowPunct w:val="0"/>
              <w:spacing w:line="0" w:lineRule="atLeast"/>
              <w:jc w:val="center"/>
              <w:rPr>
                <w:rFonts w:ascii="Times New Roman" w:eastAsia="方正楷体_GBK"/>
                <w:kern w:val="2"/>
                <w:sz w:val="24"/>
                <w:szCs w:val="24"/>
                <w:highlight w:val="none"/>
              </w:rPr>
            </w:pPr>
            <w:r>
              <w:rPr>
                <w:rFonts w:hint="eastAsia" w:ascii="Times New Roman" w:eastAsia="方正楷体_GBK"/>
                <w:kern w:val="2"/>
                <w:sz w:val="24"/>
                <w:highlight w:val="none"/>
              </w:rPr>
              <w:t>900亿元</w:t>
            </w:r>
          </w:p>
        </w:tc>
        <w:tc>
          <w:tcPr>
            <w:tcW w:w="2578" w:type="dxa"/>
            <w:noWrap/>
            <w:vAlign w:val="center"/>
          </w:tcPr>
          <w:p w14:paraId="606B6E54">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920亿元</w:t>
            </w:r>
          </w:p>
        </w:tc>
      </w:tr>
      <w:tr w14:paraId="67349F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noWrap/>
            <w:vAlign w:val="center"/>
          </w:tcPr>
          <w:p w14:paraId="054958E6">
            <w:pPr>
              <w:overflowPunct w:val="0"/>
              <w:spacing w:line="0" w:lineRule="atLeast"/>
              <w:jc w:val="center"/>
              <w:rPr>
                <w:rFonts w:ascii="Times New Roman" w:eastAsia="方正楷体_GBK"/>
                <w:sz w:val="24"/>
                <w:highlight w:val="none"/>
              </w:rPr>
            </w:pPr>
            <w:r>
              <w:rPr>
                <w:rFonts w:ascii="Times New Roman" w:eastAsia="方正楷体_GBK"/>
                <w:sz w:val="24"/>
                <w:highlight w:val="none"/>
              </w:rPr>
              <w:t>6</w:t>
            </w:r>
          </w:p>
        </w:tc>
        <w:tc>
          <w:tcPr>
            <w:tcW w:w="3341" w:type="dxa"/>
            <w:noWrap/>
            <w:vAlign w:val="center"/>
          </w:tcPr>
          <w:p w14:paraId="7DD744C7">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社会消费品零售总额</w:t>
            </w:r>
          </w:p>
        </w:tc>
        <w:tc>
          <w:tcPr>
            <w:tcW w:w="2415" w:type="dxa"/>
            <w:noWrap/>
            <w:vAlign w:val="center"/>
          </w:tcPr>
          <w:p w14:paraId="3BE95721">
            <w:pPr>
              <w:overflowPunct w:val="0"/>
              <w:spacing w:line="300" w:lineRule="exact"/>
              <w:jc w:val="center"/>
              <w:rPr>
                <w:rFonts w:ascii="Times New Roman" w:eastAsia="方正楷体_GBK"/>
                <w:kern w:val="2"/>
                <w:sz w:val="24"/>
                <w:szCs w:val="24"/>
                <w:highlight w:val="none"/>
              </w:rPr>
            </w:pPr>
            <w:r>
              <w:rPr>
                <w:rFonts w:hint="eastAsia" w:ascii="Times New Roman" w:eastAsia="方正楷体_GBK"/>
                <w:kern w:val="2"/>
                <w:sz w:val="24"/>
                <w:highlight w:val="none"/>
              </w:rPr>
              <w:t>5%以上</w:t>
            </w:r>
          </w:p>
        </w:tc>
        <w:tc>
          <w:tcPr>
            <w:tcW w:w="2578" w:type="dxa"/>
            <w:noWrap/>
            <w:vAlign w:val="center"/>
          </w:tcPr>
          <w:p w14:paraId="1CB1D4A1">
            <w:pPr>
              <w:overflowPunct w:val="0"/>
              <w:spacing w:line="0" w:lineRule="atLeast"/>
              <w:jc w:val="center"/>
              <w:rPr>
                <w:rFonts w:ascii="Times New Roman" w:eastAsia="方正楷体_GBK"/>
                <w:sz w:val="24"/>
                <w:highlight w:val="none"/>
              </w:rPr>
            </w:pPr>
            <w:r>
              <w:rPr>
                <w:rFonts w:ascii="Times New Roman" w:eastAsia="方正楷体_GBK"/>
                <w:sz w:val="24"/>
                <w:highlight w:val="none"/>
              </w:rPr>
              <w:t>1.5%</w:t>
            </w:r>
          </w:p>
        </w:tc>
      </w:tr>
      <w:tr w14:paraId="27772C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noWrap/>
            <w:vAlign w:val="center"/>
          </w:tcPr>
          <w:p w14:paraId="3593F207">
            <w:pPr>
              <w:overflowPunct w:val="0"/>
              <w:spacing w:line="0" w:lineRule="atLeast"/>
              <w:jc w:val="center"/>
              <w:rPr>
                <w:rFonts w:ascii="Times New Roman" w:eastAsia="方正楷体_GBK"/>
                <w:sz w:val="24"/>
                <w:highlight w:val="none"/>
              </w:rPr>
            </w:pPr>
            <w:r>
              <w:rPr>
                <w:rFonts w:ascii="Times New Roman" w:eastAsia="方正楷体_GBK"/>
                <w:sz w:val="24"/>
                <w:highlight w:val="none"/>
              </w:rPr>
              <w:t>7</w:t>
            </w:r>
          </w:p>
        </w:tc>
        <w:tc>
          <w:tcPr>
            <w:tcW w:w="3341" w:type="dxa"/>
            <w:noWrap/>
            <w:vAlign w:val="center"/>
          </w:tcPr>
          <w:p w14:paraId="2700CC44">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进出口总额</w:t>
            </w:r>
          </w:p>
        </w:tc>
        <w:tc>
          <w:tcPr>
            <w:tcW w:w="2415" w:type="dxa"/>
            <w:noWrap/>
            <w:vAlign w:val="center"/>
          </w:tcPr>
          <w:p w14:paraId="7F5EDBD3">
            <w:pPr>
              <w:overflowPunct w:val="0"/>
              <w:spacing w:line="300" w:lineRule="exact"/>
              <w:jc w:val="center"/>
              <w:rPr>
                <w:rFonts w:ascii="Times New Roman" w:eastAsia="方正楷体_GBK"/>
                <w:kern w:val="2"/>
                <w:sz w:val="24"/>
                <w:szCs w:val="24"/>
                <w:highlight w:val="none"/>
              </w:rPr>
            </w:pPr>
            <w:r>
              <w:rPr>
                <w:rFonts w:hint="eastAsia" w:ascii="Times New Roman" w:eastAsia="方正楷体_GBK"/>
                <w:kern w:val="2"/>
                <w:sz w:val="24"/>
                <w:highlight w:val="none"/>
              </w:rPr>
              <w:t>稳中提质</w:t>
            </w:r>
          </w:p>
        </w:tc>
        <w:tc>
          <w:tcPr>
            <w:tcW w:w="2578" w:type="dxa"/>
            <w:noWrap/>
            <w:vAlign w:val="center"/>
          </w:tcPr>
          <w:p w14:paraId="43FA2179">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10.6</w:t>
            </w:r>
            <w:r>
              <w:rPr>
                <w:rFonts w:ascii="Times New Roman" w:eastAsia="方正楷体_GBK"/>
                <w:sz w:val="24"/>
                <w:highlight w:val="none"/>
              </w:rPr>
              <w:t>%</w:t>
            </w:r>
          </w:p>
        </w:tc>
      </w:tr>
      <w:tr w14:paraId="6BDF01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noWrap/>
            <w:vAlign w:val="center"/>
          </w:tcPr>
          <w:p w14:paraId="67FD39BD">
            <w:pPr>
              <w:overflowPunct w:val="0"/>
              <w:spacing w:line="0" w:lineRule="atLeast"/>
              <w:jc w:val="center"/>
              <w:rPr>
                <w:rFonts w:ascii="Times New Roman" w:eastAsia="方正楷体_GBK"/>
                <w:sz w:val="24"/>
                <w:highlight w:val="none"/>
              </w:rPr>
            </w:pPr>
            <w:r>
              <w:rPr>
                <w:rFonts w:ascii="Times New Roman" w:eastAsia="方正楷体_GBK"/>
                <w:sz w:val="24"/>
                <w:highlight w:val="none"/>
              </w:rPr>
              <w:t>8</w:t>
            </w:r>
          </w:p>
        </w:tc>
        <w:tc>
          <w:tcPr>
            <w:tcW w:w="3341" w:type="dxa"/>
            <w:noWrap/>
            <w:vAlign w:val="center"/>
          </w:tcPr>
          <w:p w14:paraId="1532A847">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实际使用外资</w:t>
            </w:r>
          </w:p>
        </w:tc>
        <w:tc>
          <w:tcPr>
            <w:tcW w:w="2415" w:type="dxa"/>
            <w:noWrap/>
            <w:vAlign w:val="center"/>
          </w:tcPr>
          <w:p w14:paraId="2430B310">
            <w:pPr>
              <w:overflowPunct w:val="0"/>
              <w:spacing w:line="300" w:lineRule="exact"/>
              <w:jc w:val="center"/>
              <w:rPr>
                <w:rFonts w:ascii="Times New Roman" w:eastAsia="方正楷体_GBK"/>
                <w:kern w:val="2"/>
                <w:sz w:val="24"/>
                <w:szCs w:val="24"/>
                <w:highlight w:val="none"/>
              </w:rPr>
            </w:pPr>
            <w:r>
              <w:rPr>
                <w:rFonts w:hint="eastAsia" w:ascii="Times New Roman" w:eastAsia="方正楷体_GBK"/>
                <w:kern w:val="2"/>
                <w:sz w:val="24"/>
                <w:highlight w:val="none"/>
              </w:rPr>
              <w:t>9.5亿美元</w:t>
            </w:r>
          </w:p>
        </w:tc>
        <w:tc>
          <w:tcPr>
            <w:tcW w:w="2578" w:type="dxa"/>
            <w:noWrap/>
            <w:vAlign w:val="center"/>
          </w:tcPr>
          <w:p w14:paraId="64C560B4">
            <w:pPr>
              <w:overflowPunct w:val="0"/>
              <w:spacing w:line="0" w:lineRule="atLeast"/>
              <w:jc w:val="center"/>
              <w:rPr>
                <w:rFonts w:ascii="Times New Roman" w:eastAsia="方正楷体_GBK"/>
                <w:sz w:val="24"/>
                <w:highlight w:val="none"/>
              </w:rPr>
            </w:pPr>
            <w:r>
              <w:rPr>
                <w:rFonts w:ascii="Times New Roman" w:eastAsia="方正楷体_GBK"/>
                <w:sz w:val="24"/>
                <w:highlight w:val="none"/>
              </w:rPr>
              <w:t>11.7亿美元</w:t>
            </w:r>
          </w:p>
        </w:tc>
      </w:tr>
      <w:tr w14:paraId="0C97CC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noWrap/>
            <w:vAlign w:val="center"/>
          </w:tcPr>
          <w:p w14:paraId="3F0810B2">
            <w:pPr>
              <w:overflowPunct w:val="0"/>
              <w:spacing w:line="0" w:lineRule="atLeast"/>
              <w:jc w:val="center"/>
              <w:rPr>
                <w:rFonts w:ascii="Times New Roman" w:eastAsia="方正楷体_GBK"/>
                <w:sz w:val="24"/>
                <w:highlight w:val="none"/>
              </w:rPr>
            </w:pPr>
            <w:r>
              <w:rPr>
                <w:rFonts w:ascii="Times New Roman" w:eastAsia="方正楷体_GBK"/>
                <w:sz w:val="24"/>
                <w:highlight w:val="none"/>
              </w:rPr>
              <w:t>9</w:t>
            </w:r>
          </w:p>
        </w:tc>
        <w:tc>
          <w:tcPr>
            <w:tcW w:w="3341" w:type="dxa"/>
            <w:noWrap/>
            <w:vAlign w:val="center"/>
          </w:tcPr>
          <w:p w14:paraId="4E1CF7F3">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居民人均可支配收入</w:t>
            </w:r>
          </w:p>
        </w:tc>
        <w:tc>
          <w:tcPr>
            <w:tcW w:w="2415" w:type="dxa"/>
            <w:noWrap/>
            <w:vAlign w:val="center"/>
          </w:tcPr>
          <w:p w14:paraId="5FC8DEFC">
            <w:pPr>
              <w:overflowPunct w:val="0"/>
              <w:spacing w:line="300" w:lineRule="exact"/>
              <w:jc w:val="center"/>
              <w:rPr>
                <w:rFonts w:ascii="Times New Roman" w:eastAsia="方正楷体_GBK"/>
                <w:kern w:val="2"/>
                <w:sz w:val="24"/>
                <w:highlight w:val="none"/>
              </w:rPr>
            </w:pPr>
            <w:r>
              <w:rPr>
                <w:rFonts w:hint="eastAsia" w:ascii="Times New Roman" w:eastAsia="方正楷体_GBK"/>
                <w:kern w:val="2"/>
                <w:sz w:val="24"/>
                <w:highlight w:val="none"/>
              </w:rPr>
              <w:t>与经济增长</w:t>
            </w:r>
          </w:p>
          <w:p w14:paraId="7A328CFB">
            <w:pPr>
              <w:overflowPunct w:val="0"/>
              <w:spacing w:line="300" w:lineRule="exact"/>
              <w:jc w:val="center"/>
              <w:rPr>
                <w:rFonts w:ascii="Times New Roman" w:eastAsia="方正楷体_GBK"/>
                <w:kern w:val="2"/>
                <w:sz w:val="24"/>
                <w:szCs w:val="24"/>
                <w:highlight w:val="none"/>
              </w:rPr>
            </w:pPr>
            <w:r>
              <w:rPr>
                <w:rFonts w:hint="eastAsia" w:ascii="Times New Roman" w:eastAsia="方正楷体_GBK"/>
                <w:kern w:val="2"/>
                <w:sz w:val="24"/>
                <w:highlight w:val="none"/>
              </w:rPr>
              <w:t>保持同步</w:t>
            </w:r>
          </w:p>
        </w:tc>
        <w:tc>
          <w:tcPr>
            <w:tcW w:w="2578" w:type="dxa"/>
            <w:noWrap/>
            <w:vAlign w:val="center"/>
          </w:tcPr>
          <w:p w14:paraId="7DD99B9B">
            <w:pPr>
              <w:overflowPunct w:val="0"/>
              <w:spacing w:line="300" w:lineRule="exact"/>
              <w:jc w:val="center"/>
              <w:rPr>
                <w:rFonts w:ascii="Times New Roman" w:eastAsia="方正楷体_GBK"/>
                <w:kern w:val="2"/>
                <w:sz w:val="24"/>
                <w:highlight w:val="none"/>
              </w:rPr>
            </w:pPr>
            <w:r>
              <w:rPr>
                <w:rFonts w:hint="eastAsia" w:ascii="Times New Roman" w:eastAsia="方正楷体_GBK"/>
                <w:kern w:val="2"/>
                <w:sz w:val="24"/>
                <w:highlight w:val="none"/>
              </w:rPr>
              <w:t>与经济增长</w:t>
            </w:r>
          </w:p>
          <w:p w14:paraId="61E3D71B">
            <w:pPr>
              <w:overflowPunct w:val="0"/>
              <w:spacing w:line="300" w:lineRule="exact"/>
              <w:jc w:val="center"/>
              <w:rPr>
                <w:rFonts w:ascii="Times New Roman" w:eastAsia="方正楷体_GBK"/>
                <w:kern w:val="2"/>
                <w:sz w:val="24"/>
                <w:highlight w:val="none"/>
              </w:rPr>
            </w:pPr>
            <w:r>
              <w:rPr>
                <w:rFonts w:hint="eastAsia" w:ascii="Times New Roman" w:eastAsia="方正楷体_GBK"/>
                <w:kern w:val="2"/>
                <w:sz w:val="24"/>
                <w:highlight w:val="none"/>
              </w:rPr>
              <w:t>基本同步</w:t>
            </w:r>
          </w:p>
        </w:tc>
      </w:tr>
      <w:tr w14:paraId="24287A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noWrap/>
            <w:vAlign w:val="center"/>
          </w:tcPr>
          <w:p w14:paraId="6CAF5CC5">
            <w:pPr>
              <w:overflowPunct w:val="0"/>
              <w:spacing w:line="0" w:lineRule="atLeast"/>
              <w:jc w:val="center"/>
              <w:rPr>
                <w:rFonts w:ascii="Times New Roman" w:eastAsia="方正楷体_GBK"/>
                <w:sz w:val="24"/>
                <w:highlight w:val="none"/>
              </w:rPr>
            </w:pPr>
            <w:r>
              <w:rPr>
                <w:rFonts w:ascii="Times New Roman" w:eastAsia="方正楷体_GBK"/>
                <w:sz w:val="24"/>
                <w:highlight w:val="none"/>
              </w:rPr>
              <w:t>10</w:t>
            </w:r>
          </w:p>
        </w:tc>
        <w:tc>
          <w:tcPr>
            <w:tcW w:w="3341" w:type="dxa"/>
            <w:noWrap/>
            <w:vAlign w:val="center"/>
          </w:tcPr>
          <w:p w14:paraId="5E3BF676">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城镇新增就业、城镇调查失业率</w:t>
            </w:r>
          </w:p>
        </w:tc>
        <w:tc>
          <w:tcPr>
            <w:tcW w:w="2415" w:type="dxa"/>
            <w:noWrap/>
            <w:vAlign w:val="center"/>
          </w:tcPr>
          <w:p w14:paraId="6F301816">
            <w:pPr>
              <w:overflowPunct w:val="0"/>
              <w:spacing w:line="0" w:lineRule="atLeast"/>
              <w:jc w:val="center"/>
              <w:rPr>
                <w:rFonts w:ascii="Times New Roman" w:eastAsia="方正楷体_GBK"/>
                <w:kern w:val="2"/>
                <w:sz w:val="24"/>
                <w:szCs w:val="24"/>
                <w:highlight w:val="none"/>
              </w:rPr>
            </w:pPr>
            <w:r>
              <w:rPr>
                <w:rFonts w:hint="eastAsia" w:ascii="Times New Roman" w:eastAsia="方正楷体_GBK"/>
                <w:kern w:val="2"/>
                <w:sz w:val="24"/>
                <w:highlight w:val="none"/>
              </w:rPr>
              <w:t>2.6万人、5</w:t>
            </w:r>
            <w:r>
              <w:rPr>
                <w:rFonts w:ascii="Times New Roman" w:eastAsia="方正楷体_GBK"/>
                <w:kern w:val="2"/>
                <w:sz w:val="24"/>
                <w:highlight w:val="none"/>
              </w:rPr>
              <w:t>%</w:t>
            </w:r>
            <w:r>
              <w:rPr>
                <w:rFonts w:hint="eastAsia" w:ascii="Times New Roman" w:eastAsia="方正楷体_GBK"/>
                <w:kern w:val="2"/>
                <w:sz w:val="24"/>
                <w:highlight w:val="none"/>
              </w:rPr>
              <w:t>左右</w:t>
            </w:r>
          </w:p>
        </w:tc>
        <w:tc>
          <w:tcPr>
            <w:tcW w:w="2578" w:type="dxa"/>
            <w:noWrap/>
            <w:vAlign w:val="center"/>
          </w:tcPr>
          <w:p w14:paraId="52208FCD">
            <w:pPr>
              <w:overflowPunct w:val="0"/>
              <w:spacing w:line="300" w:lineRule="exact"/>
              <w:jc w:val="center"/>
              <w:rPr>
                <w:rFonts w:ascii="Times New Roman" w:eastAsia="方正楷体_GBK"/>
                <w:kern w:val="2"/>
                <w:sz w:val="24"/>
                <w:highlight w:val="none"/>
              </w:rPr>
            </w:pPr>
            <w:r>
              <w:rPr>
                <w:rFonts w:hint="eastAsia" w:ascii="Times New Roman" w:eastAsia="方正楷体_GBK"/>
                <w:sz w:val="24"/>
                <w:highlight w:val="none"/>
                <w:lang w:val="en-US" w:eastAsia="zh-CN"/>
              </w:rPr>
              <w:t>超2.6</w:t>
            </w:r>
            <w:r>
              <w:rPr>
                <w:rFonts w:ascii="Times New Roman" w:eastAsia="方正楷体_GBK"/>
                <w:sz w:val="24"/>
                <w:highlight w:val="none"/>
              </w:rPr>
              <w:t>万人、5%左右</w:t>
            </w:r>
          </w:p>
        </w:tc>
      </w:tr>
      <w:tr w14:paraId="0C7707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noWrap/>
            <w:vAlign w:val="center"/>
          </w:tcPr>
          <w:p w14:paraId="48001468">
            <w:pPr>
              <w:overflowPunct w:val="0"/>
              <w:spacing w:line="0" w:lineRule="atLeast"/>
              <w:jc w:val="center"/>
              <w:rPr>
                <w:rFonts w:ascii="Times New Roman" w:eastAsia="方正楷体_GBK"/>
                <w:sz w:val="24"/>
                <w:highlight w:val="none"/>
              </w:rPr>
            </w:pPr>
            <w:r>
              <w:rPr>
                <w:rFonts w:ascii="Times New Roman" w:eastAsia="方正楷体_GBK"/>
                <w:sz w:val="24"/>
                <w:highlight w:val="none"/>
              </w:rPr>
              <w:t>11</w:t>
            </w:r>
          </w:p>
        </w:tc>
        <w:tc>
          <w:tcPr>
            <w:tcW w:w="3341" w:type="dxa"/>
            <w:noWrap/>
            <w:vAlign w:val="center"/>
          </w:tcPr>
          <w:p w14:paraId="314DCEF4">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单位地区生产总值能耗下降</w:t>
            </w:r>
          </w:p>
        </w:tc>
        <w:tc>
          <w:tcPr>
            <w:tcW w:w="2415" w:type="dxa"/>
            <w:noWrap/>
            <w:vAlign w:val="center"/>
          </w:tcPr>
          <w:p w14:paraId="587CF5FE">
            <w:pPr>
              <w:overflowPunct w:val="0"/>
              <w:spacing w:line="300" w:lineRule="exact"/>
              <w:jc w:val="center"/>
              <w:rPr>
                <w:rFonts w:ascii="Times New Roman" w:eastAsia="方正楷体_GBK"/>
                <w:kern w:val="2"/>
                <w:sz w:val="24"/>
                <w:szCs w:val="24"/>
                <w:highlight w:val="none"/>
              </w:rPr>
            </w:pPr>
            <w:r>
              <w:rPr>
                <w:rFonts w:hint="eastAsia" w:ascii="Times New Roman" w:eastAsia="方正楷体_GBK"/>
                <w:kern w:val="2"/>
                <w:sz w:val="24"/>
                <w:highlight w:val="none"/>
              </w:rPr>
              <w:t>完成上级下达的目标任务</w:t>
            </w:r>
          </w:p>
        </w:tc>
        <w:tc>
          <w:tcPr>
            <w:tcW w:w="2578" w:type="dxa"/>
            <w:noWrap/>
            <w:vAlign w:val="center"/>
          </w:tcPr>
          <w:p w14:paraId="70FACE4E">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3.5%</w:t>
            </w:r>
          </w:p>
          <w:p w14:paraId="33C5213F">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（预计完成）</w:t>
            </w:r>
          </w:p>
        </w:tc>
      </w:tr>
      <w:tr w14:paraId="473F17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vMerge w:val="restart"/>
            <w:noWrap/>
            <w:vAlign w:val="center"/>
          </w:tcPr>
          <w:p w14:paraId="080C96B6">
            <w:pPr>
              <w:overflowPunct w:val="0"/>
              <w:spacing w:line="0" w:lineRule="atLeast"/>
              <w:jc w:val="center"/>
              <w:rPr>
                <w:rFonts w:ascii="Times New Roman" w:eastAsia="方正楷体_GBK"/>
                <w:sz w:val="24"/>
                <w:highlight w:val="none"/>
              </w:rPr>
            </w:pPr>
            <w:r>
              <w:rPr>
                <w:rFonts w:ascii="Times New Roman" w:eastAsia="方正楷体_GBK"/>
                <w:sz w:val="24"/>
                <w:highlight w:val="none"/>
              </w:rPr>
              <w:t>12</w:t>
            </w:r>
          </w:p>
        </w:tc>
        <w:tc>
          <w:tcPr>
            <w:tcW w:w="3341" w:type="dxa"/>
            <w:noWrap/>
            <w:vAlign w:val="center"/>
          </w:tcPr>
          <w:p w14:paraId="6DFD12D9">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主要污染物减排量</w:t>
            </w:r>
          </w:p>
        </w:tc>
        <w:tc>
          <w:tcPr>
            <w:tcW w:w="2415" w:type="dxa"/>
            <w:vMerge w:val="restart"/>
            <w:noWrap/>
            <w:vAlign w:val="center"/>
          </w:tcPr>
          <w:p w14:paraId="6DA9DE4A">
            <w:pPr>
              <w:overflowPunct w:val="0"/>
              <w:spacing w:line="300" w:lineRule="exact"/>
              <w:jc w:val="center"/>
              <w:rPr>
                <w:rFonts w:ascii="Times New Roman"/>
                <w:highlight w:val="none"/>
              </w:rPr>
            </w:pPr>
            <w:r>
              <w:rPr>
                <w:rFonts w:hint="eastAsia" w:ascii="Times New Roman" w:eastAsia="方正楷体_GBK"/>
                <w:kern w:val="2"/>
                <w:sz w:val="24"/>
                <w:highlight w:val="none"/>
              </w:rPr>
              <w:t>完成上级下达的目标任务</w:t>
            </w:r>
          </w:p>
        </w:tc>
        <w:tc>
          <w:tcPr>
            <w:tcW w:w="2578" w:type="dxa"/>
            <w:vMerge w:val="restart"/>
            <w:noWrap/>
            <w:vAlign w:val="center"/>
          </w:tcPr>
          <w:p w14:paraId="4364A084">
            <w:pPr>
              <w:tabs>
                <w:tab w:val="left" w:pos="444"/>
              </w:tabs>
              <w:overflowPunct w:val="0"/>
              <w:spacing w:line="0" w:lineRule="atLeast"/>
              <w:jc w:val="center"/>
              <w:rPr>
                <w:rFonts w:ascii="Times New Roman"/>
                <w:highlight w:val="none"/>
              </w:rPr>
            </w:pPr>
            <w:r>
              <w:rPr>
                <w:rFonts w:hint="eastAsia" w:ascii="Times New Roman" w:eastAsia="方正楷体_GBK"/>
                <w:sz w:val="24"/>
                <w:highlight w:val="none"/>
              </w:rPr>
              <w:t>预计完成</w:t>
            </w:r>
          </w:p>
        </w:tc>
      </w:tr>
      <w:tr w14:paraId="0BD72F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vMerge w:val="continue"/>
            <w:noWrap/>
            <w:vAlign w:val="center"/>
          </w:tcPr>
          <w:p w14:paraId="2240BA4F">
            <w:pPr>
              <w:overflowPunct w:val="0"/>
              <w:spacing w:line="0" w:lineRule="atLeast"/>
              <w:jc w:val="center"/>
              <w:rPr>
                <w:rFonts w:ascii="Times New Roman" w:eastAsia="方正楷体_GBK"/>
                <w:sz w:val="24"/>
                <w:highlight w:val="none"/>
              </w:rPr>
            </w:pPr>
          </w:p>
        </w:tc>
        <w:tc>
          <w:tcPr>
            <w:tcW w:w="3341" w:type="dxa"/>
            <w:noWrap/>
            <w:vAlign w:val="center"/>
          </w:tcPr>
          <w:p w14:paraId="48C74D7B">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w:t>
            </w:r>
            <w:r>
              <w:rPr>
                <w:rFonts w:ascii="Times New Roman" w:eastAsia="方正楷体_GBK"/>
                <w:sz w:val="24"/>
                <w:highlight w:val="none"/>
              </w:rPr>
              <w:t>1</w:t>
            </w:r>
            <w:r>
              <w:rPr>
                <w:rFonts w:hint="eastAsia" w:ascii="Times New Roman" w:eastAsia="方正楷体_GBK"/>
                <w:sz w:val="24"/>
                <w:highlight w:val="none"/>
              </w:rPr>
              <w:t>）化学需氧量</w:t>
            </w:r>
          </w:p>
        </w:tc>
        <w:tc>
          <w:tcPr>
            <w:tcW w:w="2415" w:type="dxa"/>
            <w:vMerge w:val="continue"/>
            <w:noWrap/>
            <w:vAlign w:val="center"/>
          </w:tcPr>
          <w:p w14:paraId="30F8D948">
            <w:pPr>
              <w:overflowPunct w:val="0"/>
              <w:spacing w:line="0" w:lineRule="atLeast"/>
              <w:jc w:val="center"/>
              <w:rPr>
                <w:rFonts w:ascii="Times New Roman" w:eastAsia="方正楷体_GBK"/>
                <w:sz w:val="24"/>
                <w:highlight w:val="none"/>
              </w:rPr>
            </w:pPr>
          </w:p>
        </w:tc>
        <w:tc>
          <w:tcPr>
            <w:tcW w:w="2578" w:type="dxa"/>
            <w:vMerge w:val="continue"/>
            <w:noWrap/>
            <w:vAlign w:val="center"/>
          </w:tcPr>
          <w:p w14:paraId="4C06C5A4">
            <w:pPr>
              <w:tabs>
                <w:tab w:val="left" w:pos="444"/>
              </w:tabs>
              <w:overflowPunct w:val="0"/>
              <w:spacing w:line="0" w:lineRule="atLeast"/>
              <w:jc w:val="center"/>
              <w:rPr>
                <w:rFonts w:ascii="Times New Roman" w:eastAsia="方正楷体_GBK"/>
                <w:kern w:val="2"/>
                <w:sz w:val="24"/>
                <w:szCs w:val="24"/>
                <w:highlight w:val="none"/>
              </w:rPr>
            </w:pPr>
          </w:p>
        </w:tc>
      </w:tr>
      <w:tr w14:paraId="7B8107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vMerge w:val="continue"/>
            <w:noWrap/>
            <w:vAlign w:val="center"/>
          </w:tcPr>
          <w:p w14:paraId="5F40B57B">
            <w:pPr>
              <w:overflowPunct w:val="0"/>
              <w:spacing w:line="0" w:lineRule="atLeast"/>
              <w:jc w:val="center"/>
              <w:rPr>
                <w:rFonts w:ascii="Times New Roman" w:eastAsia="方正楷体_GBK"/>
                <w:sz w:val="24"/>
                <w:highlight w:val="none"/>
              </w:rPr>
            </w:pPr>
          </w:p>
        </w:tc>
        <w:tc>
          <w:tcPr>
            <w:tcW w:w="3341" w:type="dxa"/>
            <w:noWrap/>
            <w:vAlign w:val="center"/>
          </w:tcPr>
          <w:p w14:paraId="03BB243B">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w:t>
            </w:r>
            <w:r>
              <w:rPr>
                <w:rFonts w:ascii="Times New Roman" w:eastAsia="方正楷体_GBK"/>
                <w:sz w:val="24"/>
                <w:highlight w:val="none"/>
              </w:rPr>
              <w:t>2</w:t>
            </w:r>
            <w:r>
              <w:rPr>
                <w:rFonts w:hint="eastAsia" w:ascii="Times New Roman" w:eastAsia="方正楷体_GBK"/>
                <w:sz w:val="24"/>
                <w:highlight w:val="none"/>
              </w:rPr>
              <w:t>）氨氮</w:t>
            </w:r>
          </w:p>
        </w:tc>
        <w:tc>
          <w:tcPr>
            <w:tcW w:w="2415" w:type="dxa"/>
            <w:vMerge w:val="continue"/>
            <w:noWrap/>
            <w:vAlign w:val="center"/>
          </w:tcPr>
          <w:p w14:paraId="6DF89D4C">
            <w:pPr>
              <w:overflowPunct w:val="0"/>
              <w:spacing w:line="0" w:lineRule="atLeast"/>
              <w:jc w:val="center"/>
              <w:rPr>
                <w:rFonts w:ascii="Times New Roman" w:eastAsia="方正楷体_GBK"/>
                <w:sz w:val="24"/>
                <w:highlight w:val="none"/>
              </w:rPr>
            </w:pPr>
          </w:p>
        </w:tc>
        <w:tc>
          <w:tcPr>
            <w:tcW w:w="2578" w:type="dxa"/>
            <w:vMerge w:val="continue"/>
            <w:noWrap/>
            <w:vAlign w:val="center"/>
          </w:tcPr>
          <w:p w14:paraId="08A3D2B3">
            <w:pPr>
              <w:overflowPunct w:val="0"/>
              <w:spacing w:line="0" w:lineRule="atLeast"/>
              <w:jc w:val="center"/>
              <w:rPr>
                <w:rFonts w:ascii="Times New Roman" w:eastAsia="方正楷体_GBK"/>
                <w:sz w:val="24"/>
                <w:highlight w:val="none"/>
              </w:rPr>
            </w:pPr>
          </w:p>
        </w:tc>
      </w:tr>
      <w:tr w14:paraId="23F105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vMerge w:val="continue"/>
            <w:noWrap/>
            <w:vAlign w:val="center"/>
          </w:tcPr>
          <w:p w14:paraId="71348467">
            <w:pPr>
              <w:overflowPunct w:val="0"/>
              <w:spacing w:line="0" w:lineRule="atLeast"/>
              <w:jc w:val="center"/>
              <w:rPr>
                <w:rFonts w:ascii="Times New Roman" w:eastAsia="方正楷体_GBK"/>
                <w:sz w:val="24"/>
                <w:highlight w:val="none"/>
              </w:rPr>
            </w:pPr>
          </w:p>
        </w:tc>
        <w:tc>
          <w:tcPr>
            <w:tcW w:w="3341" w:type="dxa"/>
            <w:noWrap/>
            <w:vAlign w:val="center"/>
          </w:tcPr>
          <w:p w14:paraId="3E62E723">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w:t>
            </w:r>
            <w:r>
              <w:rPr>
                <w:rFonts w:ascii="Times New Roman" w:eastAsia="方正楷体_GBK"/>
                <w:sz w:val="24"/>
                <w:highlight w:val="none"/>
              </w:rPr>
              <w:t>3</w:t>
            </w:r>
            <w:r>
              <w:rPr>
                <w:rFonts w:hint="eastAsia" w:ascii="Times New Roman" w:eastAsia="方正楷体_GBK"/>
                <w:sz w:val="24"/>
                <w:highlight w:val="none"/>
              </w:rPr>
              <w:t>）挥发性有机物</w:t>
            </w:r>
          </w:p>
        </w:tc>
        <w:tc>
          <w:tcPr>
            <w:tcW w:w="2415" w:type="dxa"/>
            <w:vMerge w:val="continue"/>
            <w:noWrap/>
            <w:vAlign w:val="center"/>
          </w:tcPr>
          <w:p w14:paraId="4723CB30">
            <w:pPr>
              <w:overflowPunct w:val="0"/>
              <w:spacing w:line="0" w:lineRule="atLeast"/>
              <w:jc w:val="center"/>
              <w:rPr>
                <w:rFonts w:ascii="Times New Roman" w:eastAsia="方正楷体_GBK"/>
                <w:sz w:val="24"/>
                <w:highlight w:val="none"/>
              </w:rPr>
            </w:pPr>
          </w:p>
        </w:tc>
        <w:tc>
          <w:tcPr>
            <w:tcW w:w="2578" w:type="dxa"/>
            <w:vMerge w:val="continue"/>
            <w:noWrap/>
            <w:vAlign w:val="center"/>
          </w:tcPr>
          <w:p w14:paraId="3E62015C">
            <w:pPr>
              <w:overflowPunct w:val="0"/>
              <w:spacing w:line="0" w:lineRule="atLeast"/>
              <w:jc w:val="center"/>
              <w:rPr>
                <w:rFonts w:ascii="Times New Roman" w:eastAsia="方正楷体_GBK"/>
                <w:sz w:val="24"/>
                <w:highlight w:val="none"/>
              </w:rPr>
            </w:pPr>
          </w:p>
        </w:tc>
      </w:tr>
      <w:tr w14:paraId="0DC514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vMerge w:val="continue"/>
            <w:noWrap/>
            <w:vAlign w:val="center"/>
          </w:tcPr>
          <w:p w14:paraId="1E9F1E8C">
            <w:pPr>
              <w:overflowPunct w:val="0"/>
              <w:spacing w:line="0" w:lineRule="atLeast"/>
              <w:jc w:val="center"/>
              <w:rPr>
                <w:rFonts w:ascii="Times New Roman" w:eastAsia="方正楷体_GBK"/>
                <w:sz w:val="24"/>
                <w:highlight w:val="none"/>
              </w:rPr>
            </w:pPr>
          </w:p>
        </w:tc>
        <w:tc>
          <w:tcPr>
            <w:tcW w:w="3341" w:type="dxa"/>
            <w:noWrap/>
            <w:vAlign w:val="center"/>
          </w:tcPr>
          <w:p w14:paraId="3FDE9B0E">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w:t>
            </w:r>
            <w:r>
              <w:rPr>
                <w:rFonts w:ascii="Times New Roman" w:eastAsia="方正楷体_GBK"/>
                <w:sz w:val="24"/>
                <w:highlight w:val="none"/>
              </w:rPr>
              <w:t>4</w:t>
            </w:r>
            <w:r>
              <w:rPr>
                <w:rFonts w:hint="eastAsia" w:ascii="Times New Roman" w:eastAsia="方正楷体_GBK"/>
                <w:sz w:val="24"/>
                <w:highlight w:val="none"/>
              </w:rPr>
              <w:t>）氮氧化物</w:t>
            </w:r>
          </w:p>
        </w:tc>
        <w:tc>
          <w:tcPr>
            <w:tcW w:w="2415" w:type="dxa"/>
            <w:vMerge w:val="continue"/>
            <w:noWrap/>
            <w:vAlign w:val="center"/>
          </w:tcPr>
          <w:p w14:paraId="3DCBC891">
            <w:pPr>
              <w:overflowPunct w:val="0"/>
              <w:spacing w:line="0" w:lineRule="atLeast"/>
              <w:jc w:val="center"/>
              <w:rPr>
                <w:rFonts w:ascii="Times New Roman" w:eastAsia="方正楷体_GBK"/>
                <w:sz w:val="24"/>
                <w:highlight w:val="none"/>
              </w:rPr>
            </w:pPr>
          </w:p>
        </w:tc>
        <w:tc>
          <w:tcPr>
            <w:tcW w:w="2578" w:type="dxa"/>
            <w:vMerge w:val="continue"/>
            <w:noWrap/>
            <w:vAlign w:val="center"/>
          </w:tcPr>
          <w:p w14:paraId="4F424CD1">
            <w:pPr>
              <w:overflowPunct w:val="0"/>
              <w:spacing w:line="0" w:lineRule="atLeast"/>
              <w:jc w:val="center"/>
              <w:rPr>
                <w:rFonts w:ascii="Times New Roman" w:eastAsia="方正楷体_GBK"/>
                <w:sz w:val="24"/>
                <w:highlight w:val="none"/>
              </w:rPr>
            </w:pPr>
          </w:p>
        </w:tc>
      </w:tr>
      <w:tr w14:paraId="26B3F3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31" w:type="dxa"/>
            <w:noWrap/>
            <w:vAlign w:val="center"/>
          </w:tcPr>
          <w:p w14:paraId="51EB79EC">
            <w:pPr>
              <w:overflowPunct w:val="0"/>
              <w:spacing w:line="0" w:lineRule="atLeast"/>
              <w:jc w:val="center"/>
              <w:rPr>
                <w:rFonts w:ascii="Times New Roman" w:eastAsia="方正楷体_GBK"/>
                <w:sz w:val="24"/>
                <w:highlight w:val="none"/>
              </w:rPr>
            </w:pPr>
            <w:r>
              <w:rPr>
                <w:rFonts w:ascii="Times New Roman" w:eastAsia="方正楷体_GBK"/>
                <w:sz w:val="24"/>
                <w:highlight w:val="none"/>
              </w:rPr>
              <w:t>13</w:t>
            </w:r>
          </w:p>
        </w:tc>
        <w:tc>
          <w:tcPr>
            <w:tcW w:w="3341" w:type="dxa"/>
            <w:noWrap/>
            <w:vAlign w:val="center"/>
          </w:tcPr>
          <w:p w14:paraId="023EE077">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PM</w:t>
            </w:r>
            <w:r>
              <w:rPr>
                <w:rFonts w:hint="eastAsia" w:ascii="Times New Roman" w:eastAsia="方正楷体_GBK"/>
                <w:sz w:val="24"/>
                <w:highlight w:val="none"/>
                <w:vertAlign w:val="subscript"/>
              </w:rPr>
              <w:t>2.5</w:t>
            </w:r>
            <w:r>
              <w:rPr>
                <w:rFonts w:hint="eastAsia" w:ascii="Times New Roman" w:eastAsia="方正楷体_GBK"/>
                <w:sz w:val="24"/>
                <w:highlight w:val="none"/>
              </w:rPr>
              <w:t>年均浓度、空气质量优良天数比率、地表水达到或好于</w:t>
            </w:r>
          </w:p>
          <w:p w14:paraId="1F40739F">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Ⅲ类水体比例</w:t>
            </w:r>
          </w:p>
        </w:tc>
        <w:tc>
          <w:tcPr>
            <w:tcW w:w="2415" w:type="dxa"/>
            <w:noWrap/>
            <w:vAlign w:val="center"/>
          </w:tcPr>
          <w:p w14:paraId="37318856">
            <w:pPr>
              <w:overflowPunct w:val="0"/>
              <w:spacing w:line="300" w:lineRule="exact"/>
              <w:jc w:val="center"/>
              <w:rPr>
                <w:rFonts w:ascii="Times New Roman" w:eastAsia="方正楷体_GBK"/>
                <w:kern w:val="2"/>
                <w:sz w:val="24"/>
                <w:szCs w:val="24"/>
                <w:highlight w:val="none"/>
              </w:rPr>
            </w:pPr>
            <w:r>
              <w:rPr>
                <w:rFonts w:hint="eastAsia" w:ascii="Times New Roman" w:eastAsia="方正楷体_GBK"/>
                <w:kern w:val="2"/>
                <w:sz w:val="24"/>
                <w:highlight w:val="none"/>
              </w:rPr>
              <w:t>完成上级下达的目标任务</w:t>
            </w:r>
          </w:p>
        </w:tc>
        <w:tc>
          <w:tcPr>
            <w:tcW w:w="2578" w:type="dxa"/>
            <w:noWrap/>
            <w:vAlign w:val="center"/>
          </w:tcPr>
          <w:p w14:paraId="405CC666">
            <w:pPr>
              <w:overflowPunct w:val="0"/>
              <w:spacing w:line="0" w:lineRule="atLeast"/>
              <w:jc w:val="center"/>
              <w:rPr>
                <w:rFonts w:ascii="Times New Roman" w:eastAsia="方正楷体_GBK"/>
                <w:kern w:val="2"/>
                <w:sz w:val="24"/>
                <w:szCs w:val="24"/>
                <w:highlight w:val="none"/>
              </w:rPr>
            </w:pPr>
            <w:r>
              <w:rPr>
                <w:rFonts w:hint="eastAsia" w:ascii="Times New Roman" w:eastAsia="方正楷体_GBK"/>
                <w:sz w:val="24"/>
                <w:highlight w:val="none"/>
              </w:rPr>
              <w:t>32</w:t>
            </w:r>
            <w:r>
              <w:rPr>
                <w:rFonts w:hint="eastAsia" w:ascii="Times New Roman" w:eastAsia="方正楷体_GBK"/>
                <w:sz w:val="24"/>
                <w:highlight w:val="none"/>
                <w:lang w:val="en-US" w:eastAsia="zh-CN"/>
              </w:rPr>
              <w:t>.6</w:t>
            </w:r>
            <w:r>
              <w:rPr>
                <w:rFonts w:hint="eastAsia" w:ascii="Times New Roman" w:eastAsia="方正楷体_GBK"/>
                <w:sz w:val="24"/>
                <w:highlight w:val="none"/>
              </w:rPr>
              <w:t>微克/立方米、8</w:t>
            </w:r>
            <w:r>
              <w:rPr>
                <w:rFonts w:hint="eastAsia" w:ascii="Times New Roman" w:eastAsia="方正楷体_GBK"/>
                <w:sz w:val="24"/>
                <w:highlight w:val="none"/>
                <w:lang w:val="en-US" w:eastAsia="zh-CN"/>
              </w:rPr>
              <w:t>1.1</w:t>
            </w:r>
            <w:r>
              <w:rPr>
                <w:rFonts w:hint="eastAsia" w:ascii="Times New Roman" w:eastAsia="方正楷体_GBK"/>
                <w:sz w:val="24"/>
                <w:highlight w:val="none"/>
              </w:rPr>
              <w:t>%、100%</w:t>
            </w:r>
          </w:p>
        </w:tc>
      </w:tr>
    </w:tbl>
    <w:p w14:paraId="75633982">
      <w:pPr>
        <w:spacing w:line="20" w:lineRule="exact"/>
        <w:rPr>
          <w:rFonts w:ascii="Times New Roman"/>
          <w:highlight w:val="none"/>
        </w:rPr>
      </w:pPr>
    </w:p>
    <w:p w14:paraId="2A7FF071">
      <w:pPr>
        <w:rPr>
          <w:rFonts w:ascii="Times New Roman" w:eastAsia="方正黑体_GBK" w:cs="方正黑体_GBK"/>
          <w:color w:val="000000"/>
          <w:kern w:val="2"/>
          <w:highlight w:val="none"/>
        </w:rPr>
      </w:pPr>
      <w:r>
        <w:rPr>
          <w:rFonts w:hint="eastAsia" w:ascii="Times New Roman" w:eastAsia="方正小标宋_GBK"/>
          <w:kern w:val="42"/>
          <w:sz w:val="44"/>
          <w:szCs w:val="44"/>
          <w:highlight w:val="none"/>
        </w:rPr>
        <w:br w:type="page"/>
      </w:r>
      <w:r>
        <w:rPr>
          <w:rFonts w:hint="eastAsia" w:ascii="Times New Roman" w:eastAsia="方正黑体_GBK" w:cs="方正黑体_GBK"/>
          <w:color w:val="000000"/>
          <w:kern w:val="2"/>
          <w:highlight w:val="none"/>
        </w:rPr>
        <w:t>附件2</w:t>
      </w:r>
    </w:p>
    <w:p w14:paraId="1329E0A0">
      <w:pPr>
        <w:overflowPunct w:val="0"/>
        <w:jc w:val="center"/>
        <w:rPr>
          <w:rFonts w:ascii="Times New Roman"/>
          <w:highlight w:val="none"/>
        </w:rPr>
      </w:pPr>
      <w:r>
        <w:rPr>
          <w:rFonts w:hint="eastAsia" w:ascii="Times New Roman" w:eastAsia="方正小标宋_GBK"/>
          <w:kern w:val="42"/>
          <w:sz w:val="44"/>
          <w:szCs w:val="44"/>
          <w:highlight w:val="none"/>
        </w:rPr>
        <w:t>江阴市2025年国民经济和社会发展目标建议</w:t>
      </w:r>
    </w:p>
    <w:tbl>
      <w:tblPr>
        <w:tblStyle w:val="11"/>
        <w:tblW w:w="845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0"/>
        <w:gridCol w:w="4106"/>
        <w:gridCol w:w="3496"/>
      </w:tblGrid>
      <w:tr w14:paraId="52EAC5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noWrap/>
            <w:vAlign w:val="center"/>
          </w:tcPr>
          <w:p w14:paraId="2A65AC34">
            <w:pPr>
              <w:overflowPunct w:val="0"/>
              <w:spacing w:line="0" w:lineRule="atLeast"/>
              <w:jc w:val="center"/>
              <w:rPr>
                <w:rFonts w:ascii="Times New Roman" w:eastAsia="方正黑体_GBK"/>
                <w:sz w:val="24"/>
                <w:highlight w:val="none"/>
              </w:rPr>
            </w:pPr>
            <w:r>
              <w:rPr>
                <w:rFonts w:hint="eastAsia" w:ascii="Times New Roman" w:eastAsia="方正黑体_GBK"/>
                <w:sz w:val="24"/>
                <w:highlight w:val="none"/>
              </w:rPr>
              <w:t>序号</w:t>
            </w:r>
          </w:p>
        </w:tc>
        <w:tc>
          <w:tcPr>
            <w:tcW w:w="4106" w:type="dxa"/>
            <w:noWrap/>
            <w:vAlign w:val="center"/>
          </w:tcPr>
          <w:p w14:paraId="04E8D2A2">
            <w:pPr>
              <w:overflowPunct w:val="0"/>
              <w:spacing w:line="0" w:lineRule="atLeast"/>
              <w:jc w:val="center"/>
              <w:rPr>
                <w:rFonts w:ascii="Times New Roman" w:eastAsia="方正黑体_GBK"/>
                <w:sz w:val="24"/>
                <w:highlight w:val="none"/>
              </w:rPr>
            </w:pPr>
            <w:r>
              <w:rPr>
                <w:rFonts w:hint="eastAsia" w:ascii="Times New Roman" w:eastAsia="方正黑体_GBK"/>
                <w:sz w:val="24"/>
                <w:highlight w:val="none"/>
              </w:rPr>
              <w:t>指标</w:t>
            </w:r>
          </w:p>
        </w:tc>
        <w:tc>
          <w:tcPr>
            <w:tcW w:w="3496" w:type="dxa"/>
            <w:noWrap/>
            <w:vAlign w:val="center"/>
          </w:tcPr>
          <w:p w14:paraId="5AD46289">
            <w:pPr>
              <w:overflowPunct w:val="0"/>
              <w:spacing w:line="0" w:lineRule="atLeast"/>
              <w:jc w:val="center"/>
              <w:rPr>
                <w:rFonts w:ascii="Times New Roman" w:eastAsia="方正黑体_GBK"/>
                <w:sz w:val="24"/>
                <w:highlight w:val="none"/>
              </w:rPr>
            </w:pPr>
            <w:r>
              <w:rPr>
                <w:rFonts w:hint="eastAsia" w:ascii="Times New Roman" w:eastAsia="方正黑体_GBK"/>
                <w:sz w:val="24"/>
                <w:highlight w:val="none"/>
              </w:rPr>
              <w:t>2025年计划目标建议</w:t>
            </w:r>
          </w:p>
        </w:tc>
      </w:tr>
      <w:tr w14:paraId="308CC4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vAlign w:val="center"/>
          </w:tcPr>
          <w:p w14:paraId="3135811D">
            <w:pPr>
              <w:overflowPunct w:val="0"/>
              <w:spacing w:line="0" w:lineRule="atLeast"/>
              <w:jc w:val="center"/>
              <w:rPr>
                <w:rFonts w:ascii="Times New Roman" w:eastAsia="方正楷体_GBK"/>
                <w:sz w:val="24"/>
                <w:highlight w:val="none"/>
              </w:rPr>
            </w:pPr>
            <w:r>
              <w:rPr>
                <w:rFonts w:ascii="Times New Roman" w:eastAsia="方正楷体_GBK"/>
                <w:sz w:val="24"/>
                <w:highlight w:val="none"/>
              </w:rPr>
              <w:t>1</w:t>
            </w:r>
          </w:p>
        </w:tc>
        <w:tc>
          <w:tcPr>
            <w:tcW w:w="4106" w:type="dxa"/>
            <w:noWrap/>
            <w:vAlign w:val="center"/>
          </w:tcPr>
          <w:p w14:paraId="2AAB9ADE">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地区生产总值</w:t>
            </w:r>
          </w:p>
        </w:tc>
        <w:tc>
          <w:tcPr>
            <w:tcW w:w="3496" w:type="dxa"/>
            <w:noWrap/>
            <w:vAlign w:val="center"/>
          </w:tcPr>
          <w:p w14:paraId="3D8964F5">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5</w:t>
            </w:r>
            <w:r>
              <w:rPr>
                <w:rFonts w:ascii="Times New Roman" w:eastAsia="方正楷体_GBK"/>
                <w:sz w:val="24"/>
                <w:highlight w:val="none"/>
              </w:rPr>
              <w:t>%</w:t>
            </w:r>
            <w:r>
              <w:rPr>
                <w:rFonts w:hint="eastAsia" w:ascii="Times New Roman" w:eastAsia="方正楷体_GBK"/>
                <w:sz w:val="24"/>
                <w:highlight w:val="none"/>
              </w:rPr>
              <w:t>以上</w:t>
            </w:r>
          </w:p>
        </w:tc>
      </w:tr>
      <w:tr w14:paraId="77A6CB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vAlign w:val="center"/>
          </w:tcPr>
          <w:p w14:paraId="5F17A08A">
            <w:pPr>
              <w:overflowPunct w:val="0"/>
              <w:spacing w:line="0" w:lineRule="atLeast"/>
              <w:jc w:val="center"/>
              <w:rPr>
                <w:rFonts w:ascii="Times New Roman" w:eastAsia="方正楷体_GBK"/>
                <w:sz w:val="24"/>
                <w:highlight w:val="none"/>
              </w:rPr>
            </w:pPr>
            <w:r>
              <w:rPr>
                <w:rFonts w:ascii="Times New Roman" w:eastAsia="方正楷体_GBK"/>
                <w:sz w:val="24"/>
                <w:highlight w:val="none"/>
              </w:rPr>
              <w:t>2</w:t>
            </w:r>
          </w:p>
        </w:tc>
        <w:tc>
          <w:tcPr>
            <w:tcW w:w="4106" w:type="dxa"/>
            <w:noWrap/>
            <w:vAlign w:val="center"/>
          </w:tcPr>
          <w:p w14:paraId="304E62EC">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一般公共预算收入</w:t>
            </w:r>
          </w:p>
        </w:tc>
        <w:tc>
          <w:tcPr>
            <w:tcW w:w="3496" w:type="dxa"/>
            <w:noWrap/>
            <w:vAlign w:val="center"/>
          </w:tcPr>
          <w:p w14:paraId="6D452886">
            <w:pPr>
              <w:overflowPunct w:val="0"/>
              <w:spacing w:line="0" w:lineRule="atLeast"/>
              <w:jc w:val="center"/>
              <w:rPr>
                <w:rFonts w:ascii="Times New Roman" w:eastAsia="方正楷体_GBK"/>
                <w:sz w:val="24"/>
                <w:highlight w:val="none"/>
              </w:rPr>
            </w:pPr>
            <w:r>
              <w:rPr>
                <w:rFonts w:hint="eastAsia" w:ascii="Times New Roman" w:hAnsi="Times New Roman" w:eastAsia="方正楷体_GBK" w:cs="Times New Roman"/>
                <w:sz w:val="24"/>
                <w:highlight w:val="none"/>
              </w:rPr>
              <w:t>2%左右</w:t>
            </w:r>
          </w:p>
        </w:tc>
      </w:tr>
      <w:tr w14:paraId="28603F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vAlign w:val="center"/>
          </w:tcPr>
          <w:p w14:paraId="6C0FC137">
            <w:pPr>
              <w:overflowPunct w:val="0"/>
              <w:spacing w:line="0" w:lineRule="atLeast"/>
              <w:jc w:val="center"/>
              <w:rPr>
                <w:rFonts w:ascii="Times New Roman" w:eastAsia="方正楷体_GBK"/>
                <w:sz w:val="24"/>
                <w:highlight w:val="none"/>
              </w:rPr>
            </w:pPr>
            <w:r>
              <w:rPr>
                <w:rFonts w:ascii="Times New Roman" w:eastAsia="方正楷体_GBK"/>
                <w:sz w:val="24"/>
                <w:highlight w:val="none"/>
              </w:rPr>
              <w:t>3</w:t>
            </w:r>
          </w:p>
        </w:tc>
        <w:tc>
          <w:tcPr>
            <w:tcW w:w="4106" w:type="dxa"/>
            <w:noWrap/>
            <w:vAlign w:val="center"/>
          </w:tcPr>
          <w:p w14:paraId="1526C7D5">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规模以上工业增加值</w:t>
            </w:r>
          </w:p>
        </w:tc>
        <w:tc>
          <w:tcPr>
            <w:tcW w:w="3496" w:type="dxa"/>
            <w:noWrap/>
            <w:vAlign w:val="center"/>
          </w:tcPr>
          <w:p w14:paraId="681ABC11">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6%</w:t>
            </w:r>
          </w:p>
        </w:tc>
      </w:tr>
      <w:tr w14:paraId="4EFAF3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vAlign w:val="center"/>
          </w:tcPr>
          <w:p w14:paraId="76A29222">
            <w:pPr>
              <w:overflowPunct w:val="0"/>
              <w:spacing w:line="0" w:lineRule="atLeast"/>
              <w:jc w:val="center"/>
              <w:rPr>
                <w:rFonts w:ascii="Times New Roman" w:eastAsia="方正楷体_GBK"/>
                <w:sz w:val="24"/>
                <w:highlight w:val="none"/>
              </w:rPr>
            </w:pPr>
            <w:r>
              <w:rPr>
                <w:rFonts w:ascii="Times New Roman" w:eastAsia="方正楷体_GBK"/>
                <w:sz w:val="24"/>
                <w:highlight w:val="none"/>
              </w:rPr>
              <w:t>4</w:t>
            </w:r>
          </w:p>
        </w:tc>
        <w:tc>
          <w:tcPr>
            <w:tcW w:w="4106" w:type="dxa"/>
            <w:noWrap/>
            <w:vAlign w:val="center"/>
          </w:tcPr>
          <w:p w14:paraId="33457395">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规上服务业营业收入</w:t>
            </w:r>
          </w:p>
        </w:tc>
        <w:tc>
          <w:tcPr>
            <w:tcW w:w="3496" w:type="dxa"/>
            <w:noWrap/>
            <w:vAlign w:val="center"/>
          </w:tcPr>
          <w:p w14:paraId="7944024F">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7%</w:t>
            </w:r>
          </w:p>
        </w:tc>
      </w:tr>
      <w:tr w14:paraId="0AAAA7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vAlign w:val="center"/>
          </w:tcPr>
          <w:p w14:paraId="23C00832">
            <w:pPr>
              <w:overflowPunct w:val="0"/>
              <w:spacing w:line="0" w:lineRule="atLeast"/>
              <w:jc w:val="center"/>
              <w:rPr>
                <w:rFonts w:ascii="Times New Roman" w:eastAsia="方正楷体_GBK"/>
                <w:sz w:val="24"/>
                <w:highlight w:val="none"/>
              </w:rPr>
            </w:pPr>
            <w:r>
              <w:rPr>
                <w:rFonts w:ascii="Times New Roman" w:eastAsia="方正楷体_GBK"/>
                <w:sz w:val="24"/>
                <w:highlight w:val="none"/>
              </w:rPr>
              <w:t>5</w:t>
            </w:r>
          </w:p>
        </w:tc>
        <w:tc>
          <w:tcPr>
            <w:tcW w:w="4106" w:type="dxa"/>
            <w:noWrap/>
            <w:vAlign w:val="center"/>
          </w:tcPr>
          <w:p w14:paraId="6614DCD6">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固定资产投资</w:t>
            </w:r>
          </w:p>
        </w:tc>
        <w:tc>
          <w:tcPr>
            <w:tcW w:w="3496" w:type="dxa"/>
            <w:noWrap/>
            <w:vAlign w:val="center"/>
          </w:tcPr>
          <w:p w14:paraId="2DA3088F">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900亿元</w:t>
            </w:r>
          </w:p>
        </w:tc>
      </w:tr>
      <w:tr w14:paraId="322FCF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vAlign w:val="center"/>
          </w:tcPr>
          <w:p w14:paraId="2F563328">
            <w:pPr>
              <w:overflowPunct w:val="0"/>
              <w:spacing w:line="0" w:lineRule="atLeast"/>
              <w:jc w:val="center"/>
              <w:rPr>
                <w:rFonts w:ascii="Times New Roman" w:eastAsia="方正楷体_GBK"/>
                <w:sz w:val="24"/>
                <w:highlight w:val="none"/>
              </w:rPr>
            </w:pPr>
            <w:r>
              <w:rPr>
                <w:rFonts w:ascii="Times New Roman" w:eastAsia="方正楷体_GBK"/>
                <w:sz w:val="24"/>
                <w:highlight w:val="none"/>
              </w:rPr>
              <w:t>6</w:t>
            </w:r>
          </w:p>
        </w:tc>
        <w:tc>
          <w:tcPr>
            <w:tcW w:w="4106" w:type="dxa"/>
            <w:noWrap/>
            <w:vAlign w:val="center"/>
          </w:tcPr>
          <w:p w14:paraId="5E61D420">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社会消费品零售总额</w:t>
            </w:r>
          </w:p>
        </w:tc>
        <w:tc>
          <w:tcPr>
            <w:tcW w:w="3496" w:type="dxa"/>
            <w:noWrap/>
            <w:vAlign w:val="center"/>
          </w:tcPr>
          <w:p w14:paraId="21BA5122">
            <w:pPr>
              <w:overflowPunct w:val="0"/>
              <w:spacing w:line="0" w:lineRule="atLeast"/>
              <w:jc w:val="center"/>
              <w:rPr>
                <w:rFonts w:ascii="Times New Roman" w:eastAsia="方正楷体_GBK"/>
                <w:sz w:val="24"/>
                <w:highlight w:val="none"/>
              </w:rPr>
            </w:pPr>
            <w:r>
              <w:rPr>
                <w:rFonts w:hint="eastAsia" w:ascii="Times New Roman" w:hAnsi="Times New Roman" w:eastAsia="方正楷体_GBK" w:cs="Times New Roman"/>
                <w:sz w:val="24"/>
                <w:highlight w:val="none"/>
              </w:rPr>
              <w:t>5%左右</w:t>
            </w:r>
          </w:p>
        </w:tc>
      </w:tr>
      <w:tr w14:paraId="02520A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vAlign w:val="center"/>
          </w:tcPr>
          <w:p w14:paraId="6B981D45">
            <w:pPr>
              <w:overflowPunct w:val="0"/>
              <w:spacing w:line="0" w:lineRule="atLeast"/>
              <w:jc w:val="center"/>
              <w:rPr>
                <w:rFonts w:ascii="Times New Roman" w:eastAsia="方正楷体_GBK"/>
                <w:sz w:val="24"/>
                <w:highlight w:val="none"/>
              </w:rPr>
            </w:pPr>
            <w:r>
              <w:rPr>
                <w:rFonts w:ascii="Times New Roman" w:eastAsia="方正楷体_GBK"/>
                <w:sz w:val="24"/>
                <w:highlight w:val="none"/>
              </w:rPr>
              <w:t>7</w:t>
            </w:r>
          </w:p>
        </w:tc>
        <w:tc>
          <w:tcPr>
            <w:tcW w:w="4106" w:type="dxa"/>
            <w:noWrap/>
            <w:vAlign w:val="center"/>
          </w:tcPr>
          <w:p w14:paraId="41E74A0E">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进出口总额</w:t>
            </w:r>
          </w:p>
        </w:tc>
        <w:tc>
          <w:tcPr>
            <w:tcW w:w="3496" w:type="dxa"/>
            <w:noWrap/>
            <w:vAlign w:val="center"/>
          </w:tcPr>
          <w:p w14:paraId="7FD3E07F">
            <w:pPr>
              <w:overflowPunct w:val="0"/>
              <w:spacing w:line="0" w:lineRule="atLeast"/>
              <w:jc w:val="center"/>
              <w:rPr>
                <w:rFonts w:ascii="Times New Roman" w:eastAsia="方正楷体_GBK"/>
                <w:sz w:val="24"/>
                <w:highlight w:val="none"/>
              </w:rPr>
            </w:pPr>
            <w:r>
              <w:rPr>
                <w:rFonts w:ascii="Times New Roman" w:eastAsia="方正楷体_GBK"/>
                <w:sz w:val="24"/>
                <w:highlight w:val="none"/>
              </w:rPr>
              <w:t>稳中提质</w:t>
            </w:r>
          </w:p>
        </w:tc>
      </w:tr>
      <w:tr w14:paraId="39FF35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vAlign w:val="center"/>
          </w:tcPr>
          <w:p w14:paraId="3EF77C16">
            <w:pPr>
              <w:overflowPunct w:val="0"/>
              <w:spacing w:line="0" w:lineRule="atLeast"/>
              <w:jc w:val="center"/>
              <w:rPr>
                <w:rFonts w:ascii="Times New Roman" w:eastAsia="方正楷体_GBK"/>
                <w:sz w:val="24"/>
                <w:highlight w:val="none"/>
              </w:rPr>
            </w:pPr>
            <w:r>
              <w:rPr>
                <w:rFonts w:ascii="Times New Roman" w:eastAsia="方正楷体_GBK"/>
                <w:sz w:val="24"/>
                <w:highlight w:val="none"/>
              </w:rPr>
              <w:t>8</w:t>
            </w:r>
          </w:p>
        </w:tc>
        <w:tc>
          <w:tcPr>
            <w:tcW w:w="4106" w:type="dxa"/>
            <w:noWrap/>
            <w:vAlign w:val="center"/>
          </w:tcPr>
          <w:p w14:paraId="5D14A9BF">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实际使用外资</w:t>
            </w:r>
          </w:p>
        </w:tc>
        <w:tc>
          <w:tcPr>
            <w:tcW w:w="3496" w:type="dxa"/>
            <w:noWrap/>
            <w:vAlign w:val="center"/>
          </w:tcPr>
          <w:p w14:paraId="2B83936B">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lang w:val="en-US" w:eastAsia="zh-CN"/>
              </w:rPr>
              <w:t>超</w:t>
            </w:r>
            <w:r>
              <w:rPr>
                <w:rFonts w:ascii="Times New Roman" w:eastAsia="方正楷体_GBK"/>
                <w:sz w:val="24"/>
                <w:highlight w:val="none"/>
              </w:rPr>
              <w:t>9.5亿美元</w:t>
            </w:r>
          </w:p>
        </w:tc>
      </w:tr>
      <w:tr w14:paraId="568D0A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vAlign w:val="center"/>
          </w:tcPr>
          <w:p w14:paraId="0363350A">
            <w:pPr>
              <w:overflowPunct w:val="0"/>
              <w:spacing w:line="0" w:lineRule="atLeast"/>
              <w:jc w:val="center"/>
              <w:rPr>
                <w:rFonts w:ascii="Times New Roman" w:eastAsia="方正楷体_GBK"/>
                <w:sz w:val="24"/>
                <w:highlight w:val="none"/>
              </w:rPr>
            </w:pPr>
            <w:r>
              <w:rPr>
                <w:rFonts w:ascii="Times New Roman" w:eastAsia="方正楷体_GBK"/>
                <w:sz w:val="24"/>
                <w:highlight w:val="none"/>
              </w:rPr>
              <w:t>9</w:t>
            </w:r>
          </w:p>
        </w:tc>
        <w:tc>
          <w:tcPr>
            <w:tcW w:w="4106" w:type="dxa"/>
            <w:noWrap/>
            <w:vAlign w:val="center"/>
          </w:tcPr>
          <w:p w14:paraId="531A1083">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居民人均可支配收入</w:t>
            </w:r>
          </w:p>
        </w:tc>
        <w:tc>
          <w:tcPr>
            <w:tcW w:w="3496" w:type="dxa"/>
            <w:noWrap/>
            <w:vAlign w:val="center"/>
          </w:tcPr>
          <w:p w14:paraId="3C77D6EF">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与经济增长基本同步</w:t>
            </w:r>
          </w:p>
        </w:tc>
      </w:tr>
      <w:tr w14:paraId="37ED17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vAlign w:val="center"/>
          </w:tcPr>
          <w:p w14:paraId="6330333A">
            <w:pPr>
              <w:overflowPunct w:val="0"/>
              <w:spacing w:line="0" w:lineRule="atLeast"/>
              <w:jc w:val="center"/>
              <w:rPr>
                <w:rFonts w:ascii="Times New Roman" w:eastAsia="方正楷体_GBK"/>
                <w:sz w:val="24"/>
                <w:highlight w:val="none"/>
              </w:rPr>
            </w:pPr>
            <w:r>
              <w:rPr>
                <w:rFonts w:ascii="Times New Roman" w:eastAsia="方正楷体_GBK"/>
                <w:sz w:val="24"/>
                <w:highlight w:val="none"/>
              </w:rPr>
              <w:t>10</w:t>
            </w:r>
          </w:p>
        </w:tc>
        <w:tc>
          <w:tcPr>
            <w:tcW w:w="4106" w:type="dxa"/>
            <w:noWrap/>
            <w:vAlign w:val="center"/>
          </w:tcPr>
          <w:p w14:paraId="07638601">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城镇新增就业</w:t>
            </w:r>
          </w:p>
        </w:tc>
        <w:tc>
          <w:tcPr>
            <w:tcW w:w="3496" w:type="dxa"/>
            <w:noWrap/>
            <w:vAlign w:val="center"/>
          </w:tcPr>
          <w:p w14:paraId="65A77CBE">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城镇新增就业2.6万人</w:t>
            </w:r>
          </w:p>
        </w:tc>
      </w:tr>
      <w:tr w14:paraId="5D2F9F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vAlign w:val="center"/>
          </w:tcPr>
          <w:p w14:paraId="447B7F82">
            <w:pPr>
              <w:overflowPunct w:val="0"/>
              <w:spacing w:line="0" w:lineRule="atLeast"/>
              <w:jc w:val="center"/>
              <w:rPr>
                <w:rFonts w:ascii="Times New Roman" w:eastAsia="方正楷体_GBK"/>
                <w:sz w:val="24"/>
                <w:highlight w:val="none"/>
              </w:rPr>
            </w:pPr>
            <w:r>
              <w:rPr>
                <w:rFonts w:ascii="Times New Roman" w:eastAsia="方正楷体_GBK"/>
                <w:sz w:val="24"/>
                <w:highlight w:val="none"/>
              </w:rPr>
              <w:t>11</w:t>
            </w:r>
          </w:p>
        </w:tc>
        <w:tc>
          <w:tcPr>
            <w:tcW w:w="4106" w:type="dxa"/>
            <w:noWrap/>
            <w:vAlign w:val="center"/>
          </w:tcPr>
          <w:p w14:paraId="76DABB2E">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单位地区生产总值能耗下降</w:t>
            </w:r>
          </w:p>
        </w:tc>
        <w:tc>
          <w:tcPr>
            <w:tcW w:w="3496" w:type="dxa"/>
            <w:noWrap/>
            <w:vAlign w:val="center"/>
          </w:tcPr>
          <w:p w14:paraId="76B76298">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完成上级下达的目标任务</w:t>
            </w:r>
          </w:p>
        </w:tc>
      </w:tr>
      <w:tr w14:paraId="595F97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Merge w:val="restart"/>
            <w:noWrap/>
            <w:vAlign w:val="center"/>
          </w:tcPr>
          <w:p w14:paraId="1EAFDED8">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12</w:t>
            </w:r>
          </w:p>
        </w:tc>
        <w:tc>
          <w:tcPr>
            <w:tcW w:w="4106" w:type="dxa"/>
            <w:noWrap/>
            <w:vAlign w:val="center"/>
          </w:tcPr>
          <w:p w14:paraId="16CC07B1">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主要污染物减排量</w:t>
            </w:r>
          </w:p>
        </w:tc>
        <w:tc>
          <w:tcPr>
            <w:tcW w:w="3496" w:type="dxa"/>
            <w:vMerge w:val="restart"/>
            <w:noWrap/>
            <w:vAlign w:val="center"/>
          </w:tcPr>
          <w:p w14:paraId="1A61E94E">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完成上级下达的目标任务</w:t>
            </w:r>
          </w:p>
        </w:tc>
      </w:tr>
      <w:tr w14:paraId="22C34E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Merge w:val="continue"/>
            <w:noWrap/>
            <w:vAlign w:val="center"/>
          </w:tcPr>
          <w:p w14:paraId="24EACBB8">
            <w:pPr>
              <w:overflowPunct w:val="0"/>
              <w:spacing w:line="0" w:lineRule="atLeast"/>
              <w:jc w:val="center"/>
              <w:rPr>
                <w:rFonts w:ascii="Times New Roman" w:eastAsia="方正楷体_GBK"/>
                <w:sz w:val="24"/>
                <w:highlight w:val="none"/>
              </w:rPr>
            </w:pPr>
          </w:p>
        </w:tc>
        <w:tc>
          <w:tcPr>
            <w:tcW w:w="4106" w:type="dxa"/>
            <w:noWrap/>
            <w:vAlign w:val="center"/>
          </w:tcPr>
          <w:p w14:paraId="7E708928">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w:t>
            </w:r>
            <w:r>
              <w:rPr>
                <w:rFonts w:ascii="Times New Roman" w:eastAsia="方正楷体_GBK"/>
                <w:sz w:val="24"/>
                <w:highlight w:val="none"/>
              </w:rPr>
              <w:t>1</w:t>
            </w:r>
            <w:r>
              <w:rPr>
                <w:rFonts w:hint="eastAsia" w:ascii="Times New Roman" w:eastAsia="方正楷体_GBK"/>
                <w:sz w:val="24"/>
                <w:highlight w:val="none"/>
              </w:rPr>
              <w:t>）化学需氧量</w:t>
            </w:r>
          </w:p>
        </w:tc>
        <w:tc>
          <w:tcPr>
            <w:tcW w:w="3496" w:type="dxa"/>
            <w:vMerge w:val="continue"/>
            <w:noWrap/>
          </w:tcPr>
          <w:p w14:paraId="76BA02D3">
            <w:pPr>
              <w:overflowPunct w:val="0"/>
              <w:spacing w:line="0" w:lineRule="atLeast"/>
              <w:jc w:val="center"/>
              <w:rPr>
                <w:rFonts w:ascii="Times New Roman" w:eastAsia="方正楷体_GBK"/>
                <w:sz w:val="24"/>
                <w:highlight w:val="none"/>
              </w:rPr>
            </w:pPr>
          </w:p>
        </w:tc>
      </w:tr>
      <w:tr w14:paraId="2C8446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Merge w:val="continue"/>
            <w:noWrap/>
            <w:vAlign w:val="center"/>
          </w:tcPr>
          <w:p w14:paraId="7B68F84C">
            <w:pPr>
              <w:overflowPunct w:val="0"/>
              <w:spacing w:line="0" w:lineRule="atLeast"/>
              <w:jc w:val="center"/>
              <w:rPr>
                <w:rFonts w:ascii="Times New Roman" w:eastAsia="方正楷体_GBK"/>
                <w:sz w:val="24"/>
                <w:highlight w:val="none"/>
              </w:rPr>
            </w:pPr>
          </w:p>
        </w:tc>
        <w:tc>
          <w:tcPr>
            <w:tcW w:w="4106" w:type="dxa"/>
            <w:noWrap/>
            <w:vAlign w:val="center"/>
          </w:tcPr>
          <w:p w14:paraId="5D39A14F">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w:t>
            </w:r>
            <w:r>
              <w:rPr>
                <w:rFonts w:ascii="Times New Roman" w:eastAsia="方正楷体_GBK"/>
                <w:sz w:val="24"/>
                <w:highlight w:val="none"/>
              </w:rPr>
              <w:t>2</w:t>
            </w:r>
            <w:r>
              <w:rPr>
                <w:rFonts w:hint="eastAsia" w:ascii="Times New Roman" w:eastAsia="方正楷体_GBK"/>
                <w:sz w:val="24"/>
                <w:highlight w:val="none"/>
              </w:rPr>
              <w:t>）氨氮</w:t>
            </w:r>
          </w:p>
        </w:tc>
        <w:tc>
          <w:tcPr>
            <w:tcW w:w="3496" w:type="dxa"/>
            <w:vMerge w:val="continue"/>
            <w:noWrap/>
          </w:tcPr>
          <w:p w14:paraId="6EB24BCF">
            <w:pPr>
              <w:overflowPunct w:val="0"/>
              <w:spacing w:line="0" w:lineRule="atLeast"/>
              <w:jc w:val="center"/>
              <w:rPr>
                <w:rFonts w:ascii="Times New Roman" w:eastAsia="方正楷体_GBK"/>
                <w:sz w:val="24"/>
                <w:highlight w:val="none"/>
              </w:rPr>
            </w:pPr>
          </w:p>
        </w:tc>
      </w:tr>
      <w:tr w14:paraId="2CD3E3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Merge w:val="continue"/>
            <w:noWrap/>
            <w:vAlign w:val="center"/>
          </w:tcPr>
          <w:p w14:paraId="6C03C805">
            <w:pPr>
              <w:overflowPunct w:val="0"/>
              <w:spacing w:line="0" w:lineRule="atLeast"/>
              <w:jc w:val="center"/>
              <w:rPr>
                <w:rFonts w:ascii="Times New Roman" w:eastAsia="方正楷体_GBK"/>
                <w:sz w:val="24"/>
                <w:highlight w:val="none"/>
              </w:rPr>
            </w:pPr>
          </w:p>
        </w:tc>
        <w:tc>
          <w:tcPr>
            <w:tcW w:w="4106" w:type="dxa"/>
            <w:noWrap/>
            <w:vAlign w:val="center"/>
          </w:tcPr>
          <w:p w14:paraId="710EE5A4">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w:t>
            </w:r>
            <w:r>
              <w:rPr>
                <w:rFonts w:ascii="Times New Roman" w:eastAsia="方正楷体_GBK"/>
                <w:sz w:val="24"/>
                <w:highlight w:val="none"/>
              </w:rPr>
              <w:t>3</w:t>
            </w:r>
            <w:r>
              <w:rPr>
                <w:rFonts w:hint="eastAsia" w:ascii="Times New Roman" w:eastAsia="方正楷体_GBK"/>
                <w:sz w:val="24"/>
                <w:highlight w:val="none"/>
              </w:rPr>
              <w:t>）挥发性有机物</w:t>
            </w:r>
          </w:p>
        </w:tc>
        <w:tc>
          <w:tcPr>
            <w:tcW w:w="3496" w:type="dxa"/>
            <w:vMerge w:val="continue"/>
            <w:noWrap/>
          </w:tcPr>
          <w:p w14:paraId="7BD09DD4">
            <w:pPr>
              <w:overflowPunct w:val="0"/>
              <w:spacing w:line="0" w:lineRule="atLeast"/>
              <w:jc w:val="center"/>
              <w:rPr>
                <w:rFonts w:ascii="Times New Roman" w:eastAsia="方正楷体_GBK"/>
                <w:sz w:val="24"/>
                <w:highlight w:val="none"/>
              </w:rPr>
            </w:pPr>
          </w:p>
        </w:tc>
      </w:tr>
      <w:tr w14:paraId="651157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Merge w:val="continue"/>
            <w:noWrap/>
            <w:vAlign w:val="center"/>
          </w:tcPr>
          <w:p w14:paraId="6FFE71F5">
            <w:pPr>
              <w:overflowPunct w:val="0"/>
              <w:spacing w:line="0" w:lineRule="atLeast"/>
              <w:jc w:val="center"/>
              <w:rPr>
                <w:rFonts w:ascii="Times New Roman" w:eastAsia="方正楷体_GBK"/>
                <w:sz w:val="24"/>
                <w:highlight w:val="none"/>
              </w:rPr>
            </w:pPr>
          </w:p>
        </w:tc>
        <w:tc>
          <w:tcPr>
            <w:tcW w:w="4106" w:type="dxa"/>
            <w:noWrap/>
            <w:vAlign w:val="center"/>
          </w:tcPr>
          <w:p w14:paraId="7C187989">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w:t>
            </w:r>
            <w:r>
              <w:rPr>
                <w:rFonts w:ascii="Times New Roman" w:eastAsia="方正楷体_GBK"/>
                <w:sz w:val="24"/>
                <w:highlight w:val="none"/>
              </w:rPr>
              <w:t>4</w:t>
            </w:r>
            <w:r>
              <w:rPr>
                <w:rFonts w:hint="eastAsia" w:ascii="Times New Roman" w:eastAsia="方正楷体_GBK"/>
                <w:sz w:val="24"/>
                <w:highlight w:val="none"/>
              </w:rPr>
              <w:t>）氮氧化物</w:t>
            </w:r>
          </w:p>
        </w:tc>
        <w:tc>
          <w:tcPr>
            <w:tcW w:w="3496" w:type="dxa"/>
            <w:vMerge w:val="continue"/>
            <w:noWrap/>
          </w:tcPr>
          <w:p w14:paraId="5199A67B">
            <w:pPr>
              <w:overflowPunct w:val="0"/>
              <w:spacing w:line="0" w:lineRule="atLeast"/>
              <w:jc w:val="center"/>
              <w:rPr>
                <w:rFonts w:ascii="Times New Roman" w:eastAsia="方正楷体_GBK"/>
                <w:sz w:val="24"/>
                <w:highlight w:val="none"/>
              </w:rPr>
            </w:pPr>
          </w:p>
        </w:tc>
      </w:tr>
      <w:tr w14:paraId="37CCE3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vAlign w:val="center"/>
          </w:tcPr>
          <w:p w14:paraId="007D907D">
            <w:pPr>
              <w:overflowPunct w:val="0"/>
              <w:spacing w:line="0" w:lineRule="atLeast"/>
              <w:jc w:val="center"/>
              <w:rPr>
                <w:rFonts w:ascii="Times New Roman" w:eastAsia="方正楷体_GBK"/>
                <w:sz w:val="24"/>
                <w:highlight w:val="none"/>
              </w:rPr>
            </w:pPr>
            <w:r>
              <w:rPr>
                <w:rFonts w:ascii="Times New Roman" w:eastAsia="方正楷体_GBK"/>
                <w:sz w:val="24"/>
                <w:highlight w:val="none"/>
              </w:rPr>
              <w:t>13</w:t>
            </w:r>
          </w:p>
        </w:tc>
        <w:tc>
          <w:tcPr>
            <w:tcW w:w="4106" w:type="dxa"/>
            <w:noWrap/>
            <w:vAlign w:val="center"/>
          </w:tcPr>
          <w:p w14:paraId="600974E2">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PM</w:t>
            </w:r>
            <w:r>
              <w:rPr>
                <w:rFonts w:hint="eastAsia" w:ascii="Times New Roman" w:eastAsia="方正楷体_GBK"/>
                <w:sz w:val="24"/>
                <w:highlight w:val="none"/>
                <w:vertAlign w:val="subscript"/>
              </w:rPr>
              <w:t>2.5</w:t>
            </w:r>
            <w:r>
              <w:rPr>
                <w:rFonts w:hint="eastAsia" w:ascii="Times New Roman" w:eastAsia="方正楷体_GBK"/>
                <w:sz w:val="24"/>
                <w:highlight w:val="none"/>
              </w:rPr>
              <w:t>年均浓度、空气质量优良天数</w:t>
            </w:r>
          </w:p>
          <w:p w14:paraId="7A5FC230">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比率、地表水达到或好于Ⅲ类水体比例</w:t>
            </w:r>
          </w:p>
        </w:tc>
        <w:tc>
          <w:tcPr>
            <w:tcW w:w="3496" w:type="dxa"/>
            <w:noWrap/>
            <w:vAlign w:val="center"/>
          </w:tcPr>
          <w:p w14:paraId="356014AD">
            <w:pPr>
              <w:overflowPunct w:val="0"/>
              <w:spacing w:line="0" w:lineRule="atLeast"/>
              <w:jc w:val="center"/>
              <w:rPr>
                <w:rFonts w:ascii="Times New Roman" w:eastAsia="方正楷体_GBK"/>
                <w:sz w:val="24"/>
                <w:highlight w:val="none"/>
              </w:rPr>
            </w:pPr>
            <w:r>
              <w:rPr>
                <w:rFonts w:hint="eastAsia" w:ascii="Times New Roman" w:eastAsia="方正楷体_GBK"/>
                <w:sz w:val="24"/>
                <w:highlight w:val="none"/>
              </w:rPr>
              <w:t>完成上级下达的目标任务</w:t>
            </w:r>
          </w:p>
        </w:tc>
      </w:tr>
    </w:tbl>
    <w:p w14:paraId="393D62EB">
      <w:pPr>
        <w:rPr>
          <w:rFonts w:ascii="Times New Roman" w:eastAsia="方正黑体_GBK"/>
          <w:kern w:val="2"/>
          <w:highlight w:val="none"/>
        </w:rPr>
      </w:pPr>
      <w:r>
        <w:rPr>
          <w:rFonts w:hint="eastAsia" w:ascii="Times New Roman" w:eastAsia="方正黑体_GBK"/>
          <w:kern w:val="2"/>
          <w:highlight w:val="none"/>
        </w:rPr>
        <w:br w:type="page"/>
      </w:r>
    </w:p>
    <w:p w14:paraId="27A873CF">
      <w:pPr>
        <w:rPr>
          <w:rFonts w:ascii="Times New Roman" w:eastAsia="方正黑体_GBK" w:cs="方正黑体_GBK"/>
          <w:color w:val="000000"/>
          <w:kern w:val="2"/>
          <w:highlight w:val="none"/>
        </w:rPr>
      </w:pPr>
      <w:r>
        <w:rPr>
          <w:rFonts w:hint="eastAsia" w:ascii="Times New Roman" w:eastAsia="方正黑体_GBK" w:cs="方正黑体_GBK"/>
          <w:color w:val="000000"/>
          <w:kern w:val="2"/>
          <w:highlight w:val="none"/>
        </w:rPr>
        <w:t>附件3</w:t>
      </w:r>
    </w:p>
    <w:p w14:paraId="2FEAF31C">
      <w:pPr>
        <w:pStyle w:val="26"/>
        <w:overflowPunct w:val="0"/>
        <w:autoSpaceDE/>
        <w:autoSpaceDN/>
        <w:spacing w:before="0"/>
        <w:ind w:left="0"/>
        <w:jc w:val="center"/>
        <w:rPr>
          <w:rFonts w:ascii="Times New Roman" w:hAnsi="Times New Roman"/>
          <w:kern w:val="2"/>
          <w:highlight w:val="none"/>
          <w:lang w:eastAsia="zh-CN"/>
        </w:rPr>
      </w:pPr>
      <w:r>
        <w:rPr>
          <w:rFonts w:hint="eastAsia" w:ascii="Times New Roman" w:hAnsi="Times New Roman"/>
          <w:kern w:val="2"/>
          <w:highlight w:val="none"/>
          <w:lang w:eastAsia="zh-CN"/>
        </w:rPr>
        <w:t>江阴市2025年保障性安居房建设工程项目表</w:t>
      </w:r>
    </w:p>
    <w:tbl>
      <w:tblPr>
        <w:tblStyle w:val="25"/>
        <w:tblW w:w="4993"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688"/>
        <w:gridCol w:w="1175"/>
        <w:gridCol w:w="2557"/>
        <w:gridCol w:w="3001"/>
        <w:gridCol w:w="1241"/>
      </w:tblGrid>
      <w:tr w14:paraId="614295E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tblHeader/>
          <w:jc w:val="center"/>
        </w:trPr>
        <w:tc>
          <w:tcPr>
            <w:tcW w:w="397" w:type="pct"/>
            <w:shd w:val="clear" w:color="auto" w:fill="auto"/>
            <w:tcMar>
              <w:left w:w="113" w:type="dxa"/>
              <w:right w:w="113" w:type="dxa"/>
            </w:tcMar>
            <w:vAlign w:val="center"/>
          </w:tcPr>
          <w:p w14:paraId="127BA736">
            <w:pPr>
              <w:pStyle w:val="27"/>
              <w:overflowPunct w:val="0"/>
              <w:autoSpaceDE/>
              <w:autoSpaceDN/>
              <w:spacing w:line="300" w:lineRule="exact"/>
              <w:jc w:val="center"/>
              <w:rPr>
                <w:rFonts w:ascii="Times New Roman" w:hAnsi="Times New Roman" w:eastAsia="方正黑体_GBK" w:cs="宋体"/>
                <w:kern w:val="2"/>
                <w:sz w:val="24"/>
                <w:szCs w:val="24"/>
                <w:highlight w:val="none"/>
              </w:rPr>
            </w:pPr>
            <w:r>
              <w:rPr>
                <w:rFonts w:hint="eastAsia" w:ascii="Times New Roman" w:hAnsi="Times New Roman" w:eastAsia="方正黑体_GBK" w:cs="宋体"/>
                <w:kern w:val="2"/>
                <w:sz w:val="24"/>
                <w:szCs w:val="24"/>
                <w:highlight w:val="none"/>
              </w:rPr>
              <w:t>序号</w:t>
            </w:r>
          </w:p>
        </w:tc>
        <w:tc>
          <w:tcPr>
            <w:tcW w:w="678" w:type="pct"/>
            <w:tcMar>
              <w:left w:w="113" w:type="dxa"/>
              <w:right w:w="113" w:type="dxa"/>
            </w:tcMar>
            <w:vAlign w:val="center"/>
          </w:tcPr>
          <w:p w14:paraId="298386F9">
            <w:pPr>
              <w:pStyle w:val="27"/>
              <w:overflowPunct w:val="0"/>
              <w:autoSpaceDE/>
              <w:autoSpaceDN/>
              <w:spacing w:line="300" w:lineRule="exact"/>
              <w:jc w:val="center"/>
              <w:rPr>
                <w:rFonts w:ascii="Times New Roman" w:hAnsi="Times New Roman" w:eastAsia="方正黑体_GBK" w:cs="宋体"/>
                <w:kern w:val="2"/>
                <w:sz w:val="24"/>
                <w:szCs w:val="24"/>
                <w:highlight w:val="none"/>
              </w:rPr>
            </w:pPr>
            <w:r>
              <w:rPr>
                <w:rFonts w:hint="eastAsia" w:ascii="Times New Roman" w:hAnsi="Times New Roman" w:eastAsia="方正黑体_GBK" w:cs="宋体"/>
                <w:kern w:val="2"/>
                <w:sz w:val="24"/>
                <w:szCs w:val="24"/>
                <w:highlight w:val="none"/>
                <w:lang w:eastAsia="zh-CN"/>
              </w:rPr>
              <w:t>板块</w:t>
            </w:r>
          </w:p>
        </w:tc>
        <w:tc>
          <w:tcPr>
            <w:tcW w:w="1475" w:type="pct"/>
            <w:shd w:val="clear" w:color="auto" w:fill="auto"/>
            <w:tcMar>
              <w:left w:w="113" w:type="dxa"/>
              <w:right w:w="113" w:type="dxa"/>
            </w:tcMar>
            <w:vAlign w:val="center"/>
          </w:tcPr>
          <w:p w14:paraId="1EBECFE3">
            <w:pPr>
              <w:pStyle w:val="27"/>
              <w:overflowPunct w:val="0"/>
              <w:autoSpaceDE/>
              <w:autoSpaceDN/>
              <w:spacing w:line="300" w:lineRule="exact"/>
              <w:jc w:val="center"/>
              <w:rPr>
                <w:rFonts w:ascii="Times New Roman" w:hAnsi="Times New Roman" w:eastAsia="方正黑体_GBK" w:cs="宋体"/>
                <w:kern w:val="2"/>
                <w:sz w:val="24"/>
                <w:szCs w:val="24"/>
                <w:highlight w:val="none"/>
              </w:rPr>
            </w:pPr>
            <w:r>
              <w:rPr>
                <w:rFonts w:hint="eastAsia" w:ascii="Times New Roman" w:hAnsi="Times New Roman" w:eastAsia="方正黑体_GBK" w:cs="宋体"/>
                <w:kern w:val="2"/>
                <w:sz w:val="24"/>
                <w:szCs w:val="24"/>
                <w:highlight w:val="none"/>
              </w:rPr>
              <w:t>项目</w:t>
            </w:r>
            <w:r>
              <w:rPr>
                <w:rFonts w:hint="eastAsia" w:ascii="Times New Roman" w:hAnsi="Times New Roman" w:eastAsia="方正黑体_GBK" w:cs="宋体"/>
                <w:kern w:val="2"/>
                <w:sz w:val="24"/>
                <w:szCs w:val="24"/>
                <w:highlight w:val="none"/>
                <w:lang w:eastAsia="zh-CN"/>
              </w:rPr>
              <w:t>或地块</w:t>
            </w:r>
            <w:r>
              <w:rPr>
                <w:rFonts w:hint="eastAsia" w:ascii="Times New Roman" w:hAnsi="Times New Roman" w:eastAsia="方正黑体_GBK" w:cs="宋体"/>
                <w:kern w:val="2"/>
                <w:sz w:val="24"/>
                <w:szCs w:val="24"/>
                <w:highlight w:val="none"/>
              </w:rPr>
              <w:t>名称</w:t>
            </w:r>
          </w:p>
        </w:tc>
        <w:tc>
          <w:tcPr>
            <w:tcW w:w="1731" w:type="pct"/>
            <w:shd w:val="clear" w:color="auto" w:fill="auto"/>
            <w:tcMar>
              <w:left w:w="113" w:type="dxa"/>
              <w:right w:w="113" w:type="dxa"/>
            </w:tcMar>
            <w:vAlign w:val="center"/>
          </w:tcPr>
          <w:p w14:paraId="67987ACE">
            <w:pPr>
              <w:pStyle w:val="27"/>
              <w:overflowPunct w:val="0"/>
              <w:autoSpaceDE/>
              <w:autoSpaceDN/>
              <w:spacing w:line="300" w:lineRule="exact"/>
              <w:jc w:val="center"/>
              <w:rPr>
                <w:rFonts w:ascii="Times New Roman" w:hAnsi="Times New Roman" w:eastAsia="方正黑体_GBK" w:cs="宋体"/>
                <w:kern w:val="2"/>
                <w:sz w:val="24"/>
                <w:szCs w:val="24"/>
                <w:highlight w:val="none"/>
              </w:rPr>
            </w:pPr>
            <w:r>
              <w:rPr>
                <w:rFonts w:hint="eastAsia" w:ascii="Times New Roman" w:hAnsi="Times New Roman" w:eastAsia="方正黑体_GBK" w:cs="宋体"/>
                <w:kern w:val="2"/>
                <w:sz w:val="24"/>
                <w:szCs w:val="24"/>
                <w:highlight w:val="none"/>
              </w:rPr>
              <w:t>四至范围及面积</w:t>
            </w:r>
          </w:p>
        </w:tc>
        <w:tc>
          <w:tcPr>
            <w:tcW w:w="716" w:type="pct"/>
            <w:shd w:val="clear" w:color="auto" w:fill="auto"/>
            <w:tcMar>
              <w:left w:w="113" w:type="dxa"/>
              <w:right w:w="113" w:type="dxa"/>
            </w:tcMar>
            <w:vAlign w:val="center"/>
          </w:tcPr>
          <w:p w14:paraId="126D2C54">
            <w:pPr>
              <w:pStyle w:val="27"/>
              <w:overflowPunct w:val="0"/>
              <w:autoSpaceDE/>
              <w:autoSpaceDN/>
              <w:spacing w:line="300" w:lineRule="exact"/>
              <w:jc w:val="center"/>
              <w:rPr>
                <w:rFonts w:ascii="Times New Roman" w:hAnsi="Times New Roman" w:eastAsia="方正黑体_GBK" w:cs="宋体"/>
                <w:kern w:val="2"/>
                <w:sz w:val="24"/>
                <w:szCs w:val="24"/>
                <w:highlight w:val="none"/>
                <w:lang w:eastAsia="zh-CN"/>
              </w:rPr>
            </w:pPr>
            <w:r>
              <w:rPr>
                <w:rFonts w:hint="eastAsia" w:ascii="Times New Roman" w:hAnsi="Times New Roman" w:eastAsia="方正黑体_GBK" w:cs="宋体"/>
                <w:kern w:val="2"/>
                <w:sz w:val="24"/>
                <w:szCs w:val="24"/>
                <w:highlight w:val="none"/>
                <w:lang w:eastAsia="zh-CN"/>
              </w:rPr>
              <w:t>面积</w:t>
            </w:r>
          </w:p>
          <w:p w14:paraId="34CC25E3">
            <w:pPr>
              <w:pStyle w:val="27"/>
              <w:overflowPunct w:val="0"/>
              <w:autoSpaceDE/>
              <w:autoSpaceDN/>
              <w:spacing w:line="300" w:lineRule="exact"/>
              <w:jc w:val="center"/>
              <w:rPr>
                <w:rFonts w:ascii="Times New Roman" w:hAnsi="Times New Roman" w:eastAsia="方正黑体_GBK" w:cs="宋体"/>
                <w:kern w:val="2"/>
                <w:sz w:val="24"/>
                <w:szCs w:val="24"/>
                <w:highlight w:val="none"/>
                <w:lang w:eastAsia="zh-CN"/>
              </w:rPr>
            </w:pPr>
            <w:r>
              <w:rPr>
                <w:rFonts w:hint="eastAsia" w:ascii="Times New Roman" w:hAnsi="Times New Roman" w:eastAsia="方正黑体_GBK" w:cs="宋体"/>
                <w:kern w:val="2"/>
                <w:sz w:val="24"/>
                <w:szCs w:val="24"/>
                <w:highlight w:val="none"/>
                <w:lang w:eastAsia="zh-CN"/>
              </w:rPr>
              <w:t>（公顷）</w:t>
            </w:r>
          </w:p>
        </w:tc>
      </w:tr>
      <w:tr w14:paraId="552F1D3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14B6EB97">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1</w:t>
            </w:r>
          </w:p>
        </w:tc>
        <w:tc>
          <w:tcPr>
            <w:tcW w:w="678" w:type="pct"/>
            <w:tcMar>
              <w:left w:w="113" w:type="dxa"/>
              <w:right w:w="113" w:type="dxa"/>
            </w:tcMar>
            <w:vAlign w:val="center"/>
          </w:tcPr>
          <w:p w14:paraId="2F0F2F73">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南闸街道</w:t>
            </w:r>
          </w:p>
        </w:tc>
        <w:tc>
          <w:tcPr>
            <w:tcW w:w="1475" w:type="pct"/>
            <w:shd w:val="clear" w:color="auto" w:fill="auto"/>
            <w:tcMar>
              <w:left w:w="113" w:type="dxa"/>
              <w:right w:w="113" w:type="dxa"/>
            </w:tcMar>
            <w:vAlign w:val="center"/>
          </w:tcPr>
          <w:p w14:paraId="1DDBBB57">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缪家村保障性安居工程</w:t>
            </w:r>
          </w:p>
        </w:tc>
        <w:tc>
          <w:tcPr>
            <w:tcW w:w="1731" w:type="pct"/>
            <w:shd w:val="clear" w:color="auto" w:fill="auto"/>
            <w:tcMar>
              <w:left w:w="113" w:type="dxa"/>
              <w:right w:w="113" w:type="dxa"/>
            </w:tcMar>
            <w:vAlign w:val="center"/>
          </w:tcPr>
          <w:p w14:paraId="54DD05DC">
            <w:pPr>
              <w:widowControl/>
              <w:spacing w:line="300" w:lineRule="exact"/>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站西路以北，规划路以南，规划路以东，白玉路以西</w:t>
            </w:r>
          </w:p>
        </w:tc>
        <w:tc>
          <w:tcPr>
            <w:tcW w:w="716" w:type="pct"/>
            <w:shd w:val="clear" w:color="auto" w:fill="auto"/>
            <w:tcMar>
              <w:left w:w="113" w:type="dxa"/>
              <w:right w:w="113" w:type="dxa"/>
            </w:tcMar>
            <w:vAlign w:val="center"/>
          </w:tcPr>
          <w:p w14:paraId="3E281DE7">
            <w:pPr>
              <w:widowControl/>
              <w:spacing w:line="300" w:lineRule="exact"/>
              <w:jc w:val="center"/>
              <w:textAlignment w:val="center"/>
              <w:rPr>
                <w:rFonts w:ascii="Times New Roman" w:eastAsia="方正楷体_GBK" w:cs="仿宋" w:hAnsiTheme="minorHAnsi"/>
                <w:kern w:val="2"/>
                <w:sz w:val="24"/>
                <w:szCs w:val="24"/>
                <w:highlight w:val="none"/>
                <w:lang w:eastAsia="en-US" w:bidi="en-US"/>
              </w:rPr>
            </w:pPr>
            <w:r>
              <w:rPr>
                <w:rFonts w:ascii="Times New Roman" w:eastAsia="方正楷体_GBK" w:cs="仿宋" w:hAnsiTheme="minorHAnsi"/>
                <w:kern w:val="2"/>
                <w:sz w:val="24"/>
                <w:szCs w:val="24"/>
                <w:highlight w:val="none"/>
                <w:lang w:bidi="en-US"/>
              </w:rPr>
              <w:t>7.4</w:t>
            </w:r>
          </w:p>
        </w:tc>
      </w:tr>
      <w:tr w14:paraId="2FF7433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4BDB69DE">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2</w:t>
            </w:r>
          </w:p>
        </w:tc>
        <w:tc>
          <w:tcPr>
            <w:tcW w:w="678" w:type="pct"/>
            <w:tcMar>
              <w:left w:w="113" w:type="dxa"/>
              <w:right w:w="113" w:type="dxa"/>
            </w:tcMar>
            <w:vAlign w:val="center"/>
          </w:tcPr>
          <w:p w14:paraId="12743B0F">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云亭街道</w:t>
            </w:r>
          </w:p>
        </w:tc>
        <w:tc>
          <w:tcPr>
            <w:tcW w:w="1475" w:type="pct"/>
            <w:shd w:val="clear" w:color="auto" w:fill="auto"/>
            <w:tcMar>
              <w:left w:w="113" w:type="dxa"/>
              <w:right w:w="113" w:type="dxa"/>
            </w:tcMar>
            <w:vAlign w:val="center"/>
          </w:tcPr>
          <w:p w14:paraId="53E9F9B6">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云东安居工程</w:t>
            </w:r>
          </w:p>
        </w:tc>
        <w:tc>
          <w:tcPr>
            <w:tcW w:w="1731" w:type="pct"/>
            <w:shd w:val="clear" w:color="auto" w:fill="auto"/>
            <w:tcMar>
              <w:left w:w="113" w:type="dxa"/>
              <w:right w:w="113" w:type="dxa"/>
            </w:tcMar>
            <w:vAlign w:val="center"/>
          </w:tcPr>
          <w:p w14:paraId="7BC38965">
            <w:pPr>
              <w:widowControl/>
              <w:spacing w:line="300" w:lineRule="exact"/>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应天河南、季庄路西、绿城东苑北</w:t>
            </w:r>
          </w:p>
        </w:tc>
        <w:tc>
          <w:tcPr>
            <w:tcW w:w="716" w:type="pct"/>
            <w:shd w:val="clear" w:color="auto" w:fill="auto"/>
            <w:tcMar>
              <w:left w:w="113" w:type="dxa"/>
              <w:right w:w="113" w:type="dxa"/>
            </w:tcMar>
            <w:vAlign w:val="center"/>
          </w:tcPr>
          <w:p w14:paraId="6180E6C2">
            <w:pPr>
              <w:widowControl/>
              <w:spacing w:line="300" w:lineRule="exact"/>
              <w:jc w:val="center"/>
              <w:textAlignment w:val="center"/>
              <w:rPr>
                <w:rFonts w:ascii="Times New Roman" w:eastAsia="方正楷体_GBK" w:cs="仿宋" w:hAnsiTheme="minorHAnsi"/>
                <w:kern w:val="2"/>
                <w:sz w:val="24"/>
                <w:szCs w:val="24"/>
                <w:highlight w:val="none"/>
                <w:lang w:eastAsia="en-US" w:bidi="en-US"/>
              </w:rPr>
            </w:pPr>
            <w:r>
              <w:rPr>
                <w:rFonts w:hint="eastAsia" w:ascii="Times New Roman" w:eastAsia="方正楷体_GBK" w:cs="仿宋" w:hAnsiTheme="minorHAnsi"/>
                <w:kern w:val="2"/>
                <w:sz w:val="24"/>
                <w:szCs w:val="24"/>
                <w:highlight w:val="none"/>
                <w:lang w:bidi="en-US"/>
              </w:rPr>
              <w:t>1.8355</w:t>
            </w:r>
          </w:p>
        </w:tc>
      </w:tr>
      <w:tr w14:paraId="0CEB2B0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6D5CCC5C">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3</w:t>
            </w:r>
          </w:p>
        </w:tc>
        <w:tc>
          <w:tcPr>
            <w:tcW w:w="678" w:type="pct"/>
            <w:tcMar>
              <w:left w:w="113" w:type="dxa"/>
              <w:right w:w="113" w:type="dxa"/>
            </w:tcMar>
            <w:vAlign w:val="center"/>
          </w:tcPr>
          <w:p w14:paraId="67AA51BC">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云亭街道</w:t>
            </w:r>
          </w:p>
        </w:tc>
        <w:tc>
          <w:tcPr>
            <w:tcW w:w="1475" w:type="pct"/>
            <w:shd w:val="clear" w:color="auto" w:fill="auto"/>
            <w:tcMar>
              <w:left w:w="113" w:type="dxa"/>
              <w:right w:w="113" w:type="dxa"/>
            </w:tcMar>
            <w:vAlign w:val="center"/>
          </w:tcPr>
          <w:p w14:paraId="10A0F4C7">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云西安居工程</w:t>
            </w:r>
          </w:p>
        </w:tc>
        <w:tc>
          <w:tcPr>
            <w:tcW w:w="1731" w:type="pct"/>
            <w:shd w:val="clear" w:color="auto" w:fill="auto"/>
            <w:tcMar>
              <w:left w:w="113" w:type="dxa"/>
              <w:right w:w="113" w:type="dxa"/>
            </w:tcMar>
            <w:vAlign w:val="center"/>
          </w:tcPr>
          <w:p w14:paraId="48D283CD">
            <w:pPr>
              <w:widowControl/>
              <w:spacing w:line="300" w:lineRule="exact"/>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新伍路东、云南路北</w:t>
            </w:r>
          </w:p>
        </w:tc>
        <w:tc>
          <w:tcPr>
            <w:tcW w:w="716" w:type="pct"/>
            <w:shd w:val="clear" w:color="auto" w:fill="auto"/>
            <w:tcMar>
              <w:left w:w="113" w:type="dxa"/>
              <w:right w:w="113" w:type="dxa"/>
            </w:tcMar>
            <w:vAlign w:val="center"/>
          </w:tcPr>
          <w:p w14:paraId="6BC7D06C">
            <w:pPr>
              <w:widowControl/>
              <w:spacing w:line="300" w:lineRule="exact"/>
              <w:jc w:val="center"/>
              <w:textAlignment w:val="center"/>
              <w:rPr>
                <w:rFonts w:ascii="Times New Roman" w:eastAsia="方正楷体_GBK" w:cs="仿宋" w:hAnsiTheme="minorHAnsi"/>
                <w:kern w:val="2"/>
                <w:sz w:val="24"/>
                <w:szCs w:val="24"/>
                <w:highlight w:val="none"/>
                <w:lang w:eastAsia="en-US" w:bidi="en-US"/>
              </w:rPr>
            </w:pPr>
            <w:r>
              <w:rPr>
                <w:rFonts w:hint="eastAsia" w:ascii="Times New Roman" w:eastAsia="方正楷体_GBK" w:cs="仿宋" w:hAnsiTheme="minorHAnsi"/>
                <w:kern w:val="2"/>
                <w:sz w:val="24"/>
                <w:szCs w:val="24"/>
                <w:highlight w:val="none"/>
                <w:lang w:bidi="en-US"/>
              </w:rPr>
              <w:t>5.7736</w:t>
            </w:r>
          </w:p>
        </w:tc>
      </w:tr>
      <w:tr w14:paraId="3E78AE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27E1DCEE">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4</w:t>
            </w:r>
          </w:p>
        </w:tc>
        <w:tc>
          <w:tcPr>
            <w:tcW w:w="678" w:type="pct"/>
            <w:tcMar>
              <w:left w:w="113" w:type="dxa"/>
              <w:right w:w="113" w:type="dxa"/>
            </w:tcMar>
            <w:vAlign w:val="center"/>
          </w:tcPr>
          <w:p w14:paraId="349850D4">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月城镇</w:t>
            </w:r>
          </w:p>
        </w:tc>
        <w:tc>
          <w:tcPr>
            <w:tcW w:w="1475" w:type="pct"/>
            <w:shd w:val="clear" w:color="auto" w:fill="auto"/>
            <w:tcMar>
              <w:left w:w="113" w:type="dxa"/>
              <w:right w:w="113" w:type="dxa"/>
            </w:tcMar>
            <w:vAlign w:val="center"/>
          </w:tcPr>
          <w:p w14:paraId="30935998">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月城镇保障性安居工程（水芙苑二期）项目</w:t>
            </w:r>
          </w:p>
        </w:tc>
        <w:tc>
          <w:tcPr>
            <w:tcW w:w="1731" w:type="pct"/>
            <w:shd w:val="clear" w:color="auto" w:fill="auto"/>
            <w:tcMar>
              <w:left w:w="113" w:type="dxa"/>
              <w:right w:w="113" w:type="dxa"/>
            </w:tcMar>
            <w:vAlign w:val="center"/>
          </w:tcPr>
          <w:p w14:paraId="2B2BE80D">
            <w:pPr>
              <w:widowControl/>
              <w:spacing w:line="300" w:lineRule="exact"/>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文化路东、水芙苑一期南、文汇路西、规划新戚月线北</w:t>
            </w:r>
          </w:p>
        </w:tc>
        <w:tc>
          <w:tcPr>
            <w:tcW w:w="716" w:type="pct"/>
            <w:shd w:val="clear" w:color="auto" w:fill="auto"/>
            <w:tcMar>
              <w:left w:w="113" w:type="dxa"/>
              <w:right w:w="113" w:type="dxa"/>
            </w:tcMar>
            <w:vAlign w:val="center"/>
          </w:tcPr>
          <w:p w14:paraId="7BDE3E6A">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4.1699</w:t>
            </w:r>
          </w:p>
        </w:tc>
      </w:tr>
      <w:tr w14:paraId="7B3A779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4961AC40">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5</w:t>
            </w:r>
          </w:p>
        </w:tc>
        <w:tc>
          <w:tcPr>
            <w:tcW w:w="678" w:type="pct"/>
            <w:tcMar>
              <w:left w:w="113" w:type="dxa"/>
              <w:right w:w="113" w:type="dxa"/>
            </w:tcMar>
            <w:vAlign w:val="center"/>
          </w:tcPr>
          <w:p w14:paraId="2662CDEF">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青阳镇</w:t>
            </w:r>
          </w:p>
        </w:tc>
        <w:tc>
          <w:tcPr>
            <w:tcW w:w="1475" w:type="pct"/>
            <w:shd w:val="clear" w:color="auto" w:fill="auto"/>
            <w:tcMar>
              <w:left w:w="113" w:type="dxa"/>
              <w:right w:w="113" w:type="dxa"/>
            </w:tcMar>
            <w:vAlign w:val="center"/>
          </w:tcPr>
          <w:p w14:paraId="14AFCEA5">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青东花苑一期保障性</w:t>
            </w:r>
          </w:p>
          <w:p w14:paraId="026A83B9">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安居工程（补办）</w:t>
            </w:r>
          </w:p>
        </w:tc>
        <w:tc>
          <w:tcPr>
            <w:tcW w:w="1731" w:type="pct"/>
            <w:shd w:val="clear" w:color="auto" w:fill="auto"/>
            <w:tcMar>
              <w:left w:w="113" w:type="dxa"/>
              <w:right w:w="113" w:type="dxa"/>
            </w:tcMar>
            <w:vAlign w:val="center"/>
          </w:tcPr>
          <w:p w14:paraId="6FB4EB00">
            <w:pPr>
              <w:widowControl/>
              <w:spacing w:line="300" w:lineRule="exact"/>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远望路东、北环路南、宁仪路西</w:t>
            </w:r>
          </w:p>
        </w:tc>
        <w:tc>
          <w:tcPr>
            <w:tcW w:w="716" w:type="pct"/>
            <w:shd w:val="clear" w:color="auto" w:fill="auto"/>
            <w:tcMar>
              <w:left w:w="113" w:type="dxa"/>
              <w:right w:w="113" w:type="dxa"/>
            </w:tcMar>
            <w:vAlign w:val="center"/>
          </w:tcPr>
          <w:p w14:paraId="5640D256">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5.3</w:t>
            </w:r>
          </w:p>
        </w:tc>
      </w:tr>
      <w:tr w14:paraId="1AE2054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264C75DD">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6</w:t>
            </w:r>
          </w:p>
        </w:tc>
        <w:tc>
          <w:tcPr>
            <w:tcW w:w="678" w:type="pct"/>
            <w:tcMar>
              <w:left w:w="113" w:type="dxa"/>
              <w:right w:w="113" w:type="dxa"/>
            </w:tcMar>
            <w:vAlign w:val="center"/>
          </w:tcPr>
          <w:p w14:paraId="188EEC4E">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徐霞客镇</w:t>
            </w:r>
          </w:p>
        </w:tc>
        <w:tc>
          <w:tcPr>
            <w:tcW w:w="1475" w:type="pct"/>
            <w:shd w:val="clear" w:color="auto" w:fill="auto"/>
            <w:tcMar>
              <w:left w:w="113" w:type="dxa"/>
              <w:right w:w="113" w:type="dxa"/>
            </w:tcMar>
            <w:vAlign w:val="center"/>
          </w:tcPr>
          <w:p w14:paraId="07037BF7">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东宏时装地块保障性</w:t>
            </w:r>
          </w:p>
          <w:p w14:paraId="28BF4707">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安居工程</w:t>
            </w:r>
          </w:p>
        </w:tc>
        <w:tc>
          <w:tcPr>
            <w:tcW w:w="1731" w:type="pct"/>
            <w:shd w:val="clear" w:color="auto" w:fill="auto"/>
            <w:tcMar>
              <w:left w:w="113" w:type="dxa"/>
              <w:right w:w="113" w:type="dxa"/>
            </w:tcMar>
            <w:vAlign w:val="center"/>
          </w:tcPr>
          <w:p w14:paraId="5116F0B8">
            <w:pPr>
              <w:widowControl/>
              <w:spacing w:line="300" w:lineRule="exact"/>
              <w:textAlignment w:val="center"/>
              <w:rPr>
                <w:rFonts w:ascii="Times New Roman" w:eastAsia="方正楷体_GBK" w:cs="仿宋" w:hAnsiTheme="minorHAnsi"/>
                <w:kern w:val="2"/>
                <w:sz w:val="24"/>
                <w:szCs w:val="24"/>
                <w:highlight w:val="none"/>
                <w:lang w:bidi="en-US"/>
              </w:rPr>
            </w:pPr>
            <w:r>
              <w:rPr>
                <w:rFonts w:ascii="Times New Roman" w:eastAsia="方正楷体_GBK" w:cs="仿宋" w:hAnsiTheme="minorHAnsi"/>
                <w:kern w:val="2"/>
                <w:sz w:val="24"/>
                <w:szCs w:val="24"/>
                <w:highlight w:val="none"/>
                <w:lang w:bidi="en-US"/>
              </w:rPr>
              <w:t>公园路东、冯泾河北、中山路西、人民路南</w:t>
            </w:r>
          </w:p>
        </w:tc>
        <w:tc>
          <w:tcPr>
            <w:tcW w:w="716" w:type="pct"/>
            <w:shd w:val="clear" w:color="auto" w:fill="auto"/>
            <w:tcMar>
              <w:left w:w="113" w:type="dxa"/>
              <w:right w:w="113" w:type="dxa"/>
            </w:tcMar>
            <w:vAlign w:val="center"/>
          </w:tcPr>
          <w:p w14:paraId="67E382CE">
            <w:pPr>
              <w:widowControl/>
              <w:spacing w:line="300" w:lineRule="exact"/>
              <w:jc w:val="center"/>
              <w:textAlignment w:val="center"/>
              <w:rPr>
                <w:rFonts w:ascii="Times New Roman" w:eastAsia="方正楷体_GBK" w:cs="仿宋" w:hAnsiTheme="minorHAnsi"/>
                <w:kern w:val="2"/>
                <w:sz w:val="24"/>
                <w:szCs w:val="24"/>
                <w:highlight w:val="none"/>
                <w:lang w:eastAsia="en-US" w:bidi="en-US"/>
              </w:rPr>
            </w:pPr>
            <w:r>
              <w:rPr>
                <w:rFonts w:hint="eastAsia" w:ascii="Times New Roman" w:eastAsia="方正楷体_GBK" w:cs="仿宋" w:hAnsiTheme="minorHAnsi"/>
                <w:kern w:val="2"/>
                <w:sz w:val="24"/>
                <w:szCs w:val="24"/>
                <w:highlight w:val="none"/>
                <w:lang w:bidi="en-US"/>
              </w:rPr>
              <w:t>7.5373</w:t>
            </w:r>
          </w:p>
        </w:tc>
      </w:tr>
      <w:tr w14:paraId="5A90394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36E650D3">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7</w:t>
            </w:r>
          </w:p>
        </w:tc>
        <w:tc>
          <w:tcPr>
            <w:tcW w:w="678" w:type="pct"/>
            <w:tcMar>
              <w:left w:w="113" w:type="dxa"/>
              <w:right w:w="113" w:type="dxa"/>
            </w:tcMar>
            <w:vAlign w:val="center"/>
          </w:tcPr>
          <w:p w14:paraId="5EF90C33">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徐霞客镇</w:t>
            </w:r>
          </w:p>
        </w:tc>
        <w:tc>
          <w:tcPr>
            <w:tcW w:w="1475" w:type="pct"/>
            <w:shd w:val="clear" w:color="auto" w:fill="auto"/>
            <w:tcMar>
              <w:left w:w="113" w:type="dxa"/>
              <w:right w:w="113" w:type="dxa"/>
            </w:tcMar>
            <w:vAlign w:val="center"/>
          </w:tcPr>
          <w:p w14:paraId="3E5BE191">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顾家村地块保障性</w:t>
            </w:r>
          </w:p>
          <w:p w14:paraId="195EFCF9">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安居工程</w:t>
            </w:r>
          </w:p>
        </w:tc>
        <w:tc>
          <w:tcPr>
            <w:tcW w:w="1731" w:type="pct"/>
            <w:shd w:val="clear" w:color="auto" w:fill="auto"/>
            <w:tcMar>
              <w:left w:w="113" w:type="dxa"/>
              <w:right w:w="113" w:type="dxa"/>
            </w:tcMar>
            <w:vAlign w:val="center"/>
          </w:tcPr>
          <w:p w14:paraId="4C85B7D4">
            <w:pPr>
              <w:widowControl/>
              <w:spacing w:line="300" w:lineRule="exact"/>
              <w:textAlignment w:val="center"/>
              <w:rPr>
                <w:rFonts w:ascii="Times New Roman" w:eastAsia="方正楷体_GBK" w:cs="仿宋" w:hAnsiTheme="minorHAnsi"/>
                <w:kern w:val="2"/>
                <w:sz w:val="24"/>
                <w:szCs w:val="24"/>
                <w:highlight w:val="none"/>
                <w:lang w:bidi="en-US"/>
              </w:rPr>
            </w:pPr>
            <w:r>
              <w:rPr>
                <w:rFonts w:ascii="Times New Roman" w:eastAsia="方正楷体_GBK" w:cs="仿宋" w:hAnsiTheme="minorHAnsi"/>
                <w:kern w:val="2"/>
                <w:sz w:val="24"/>
                <w:szCs w:val="24"/>
                <w:highlight w:val="none"/>
                <w:lang w:bidi="en-US"/>
              </w:rPr>
              <w:t>凤栖苑东、凤凰东路北、中奥天悦湾西、规划道路南</w:t>
            </w:r>
          </w:p>
        </w:tc>
        <w:tc>
          <w:tcPr>
            <w:tcW w:w="716" w:type="pct"/>
            <w:shd w:val="clear" w:color="auto" w:fill="auto"/>
            <w:tcMar>
              <w:left w:w="113" w:type="dxa"/>
              <w:right w:w="113" w:type="dxa"/>
            </w:tcMar>
            <w:vAlign w:val="center"/>
          </w:tcPr>
          <w:p w14:paraId="001A101D">
            <w:pPr>
              <w:widowControl/>
              <w:spacing w:line="300" w:lineRule="exact"/>
              <w:jc w:val="center"/>
              <w:textAlignment w:val="center"/>
              <w:rPr>
                <w:rFonts w:ascii="Times New Roman" w:eastAsia="方正楷体_GBK" w:cs="仿宋" w:hAnsiTheme="minorHAnsi"/>
                <w:kern w:val="2"/>
                <w:sz w:val="24"/>
                <w:szCs w:val="24"/>
                <w:highlight w:val="none"/>
                <w:lang w:eastAsia="en-US" w:bidi="en-US"/>
              </w:rPr>
            </w:pPr>
            <w:r>
              <w:rPr>
                <w:rFonts w:hint="eastAsia" w:ascii="Times New Roman" w:eastAsia="方正楷体_GBK" w:cs="仿宋" w:hAnsiTheme="minorHAnsi"/>
                <w:kern w:val="2"/>
                <w:sz w:val="24"/>
                <w:szCs w:val="24"/>
                <w:highlight w:val="none"/>
                <w:lang w:bidi="en-US"/>
              </w:rPr>
              <w:t>4.696</w:t>
            </w:r>
          </w:p>
        </w:tc>
      </w:tr>
      <w:tr w14:paraId="22B0E8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0E731CC9">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8</w:t>
            </w:r>
          </w:p>
        </w:tc>
        <w:tc>
          <w:tcPr>
            <w:tcW w:w="678" w:type="pct"/>
            <w:tcMar>
              <w:left w:w="113" w:type="dxa"/>
              <w:right w:w="113" w:type="dxa"/>
            </w:tcMar>
            <w:vAlign w:val="center"/>
          </w:tcPr>
          <w:p w14:paraId="43246BFD">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徐霞客镇</w:t>
            </w:r>
          </w:p>
        </w:tc>
        <w:tc>
          <w:tcPr>
            <w:tcW w:w="1475" w:type="pct"/>
            <w:shd w:val="clear" w:color="auto" w:fill="auto"/>
            <w:tcMar>
              <w:left w:w="113" w:type="dxa"/>
              <w:right w:w="113" w:type="dxa"/>
            </w:tcMar>
            <w:vAlign w:val="center"/>
          </w:tcPr>
          <w:p w14:paraId="5E61F544">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徐霞客镇璜塘保障性</w:t>
            </w:r>
          </w:p>
          <w:p w14:paraId="5A3A7BFE">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安居工程</w:t>
            </w:r>
          </w:p>
        </w:tc>
        <w:tc>
          <w:tcPr>
            <w:tcW w:w="1731" w:type="pct"/>
            <w:shd w:val="clear" w:color="auto" w:fill="auto"/>
            <w:tcMar>
              <w:left w:w="113" w:type="dxa"/>
              <w:right w:w="113" w:type="dxa"/>
            </w:tcMar>
            <w:vAlign w:val="center"/>
          </w:tcPr>
          <w:p w14:paraId="602FB6C2">
            <w:pPr>
              <w:widowControl/>
              <w:spacing w:line="300" w:lineRule="exact"/>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青华路东、白屈港西</w:t>
            </w:r>
          </w:p>
        </w:tc>
        <w:tc>
          <w:tcPr>
            <w:tcW w:w="716" w:type="pct"/>
            <w:shd w:val="clear" w:color="auto" w:fill="auto"/>
            <w:tcMar>
              <w:left w:w="113" w:type="dxa"/>
              <w:right w:w="113" w:type="dxa"/>
            </w:tcMar>
            <w:vAlign w:val="center"/>
          </w:tcPr>
          <w:p w14:paraId="36F1EC6D">
            <w:pPr>
              <w:widowControl/>
              <w:spacing w:line="300" w:lineRule="exact"/>
              <w:jc w:val="center"/>
              <w:textAlignment w:val="center"/>
              <w:rPr>
                <w:rFonts w:ascii="Times New Roman" w:eastAsia="方正楷体_GBK" w:cs="仿宋" w:hAnsiTheme="minorHAnsi"/>
                <w:kern w:val="2"/>
                <w:sz w:val="24"/>
                <w:szCs w:val="24"/>
                <w:highlight w:val="none"/>
                <w:lang w:eastAsia="en-US" w:bidi="en-US"/>
              </w:rPr>
            </w:pPr>
            <w:r>
              <w:rPr>
                <w:rFonts w:hint="eastAsia" w:ascii="Times New Roman" w:eastAsia="方正楷体_GBK" w:cs="仿宋" w:hAnsiTheme="minorHAnsi"/>
                <w:kern w:val="2"/>
                <w:sz w:val="24"/>
                <w:szCs w:val="24"/>
                <w:highlight w:val="none"/>
                <w:lang w:bidi="en-US"/>
              </w:rPr>
              <w:t>2.5</w:t>
            </w:r>
          </w:p>
        </w:tc>
      </w:tr>
      <w:tr w14:paraId="54141ED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29121DB2">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9</w:t>
            </w:r>
          </w:p>
        </w:tc>
        <w:tc>
          <w:tcPr>
            <w:tcW w:w="678" w:type="pct"/>
            <w:tcMar>
              <w:left w:w="113" w:type="dxa"/>
              <w:right w:w="113" w:type="dxa"/>
            </w:tcMar>
            <w:vAlign w:val="center"/>
          </w:tcPr>
          <w:p w14:paraId="7A05ACED">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徐霞客镇</w:t>
            </w:r>
          </w:p>
        </w:tc>
        <w:tc>
          <w:tcPr>
            <w:tcW w:w="1475" w:type="pct"/>
            <w:shd w:val="clear" w:color="auto" w:fill="auto"/>
            <w:tcMar>
              <w:left w:w="113" w:type="dxa"/>
              <w:right w:w="113" w:type="dxa"/>
            </w:tcMar>
            <w:vAlign w:val="center"/>
          </w:tcPr>
          <w:p w14:paraId="55087751">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徐霞客镇峭岐保障性</w:t>
            </w:r>
          </w:p>
          <w:p w14:paraId="59D92616">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安居工程</w:t>
            </w:r>
          </w:p>
        </w:tc>
        <w:tc>
          <w:tcPr>
            <w:tcW w:w="1731" w:type="pct"/>
            <w:shd w:val="clear" w:color="auto" w:fill="auto"/>
            <w:tcMar>
              <w:left w:w="113" w:type="dxa"/>
              <w:right w:w="113" w:type="dxa"/>
            </w:tcMar>
            <w:vAlign w:val="center"/>
          </w:tcPr>
          <w:p w14:paraId="64E1FA95">
            <w:pPr>
              <w:widowControl/>
              <w:spacing w:line="300" w:lineRule="exact"/>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博爱花苑东、博爱路南、白屈港西</w:t>
            </w:r>
          </w:p>
        </w:tc>
        <w:tc>
          <w:tcPr>
            <w:tcW w:w="716" w:type="pct"/>
            <w:shd w:val="clear" w:color="auto" w:fill="auto"/>
            <w:tcMar>
              <w:left w:w="113" w:type="dxa"/>
              <w:right w:w="113" w:type="dxa"/>
            </w:tcMar>
            <w:vAlign w:val="center"/>
          </w:tcPr>
          <w:p w14:paraId="7C6ECA6A">
            <w:pPr>
              <w:widowControl/>
              <w:spacing w:line="300" w:lineRule="exact"/>
              <w:jc w:val="center"/>
              <w:textAlignment w:val="center"/>
              <w:rPr>
                <w:rFonts w:ascii="Times New Roman" w:eastAsia="方正楷体_GBK" w:cs="仿宋" w:hAnsiTheme="minorHAnsi"/>
                <w:kern w:val="2"/>
                <w:sz w:val="24"/>
                <w:szCs w:val="24"/>
                <w:highlight w:val="none"/>
                <w:lang w:eastAsia="en-US" w:bidi="en-US"/>
              </w:rPr>
            </w:pPr>
            <w:r>
              <w:rPr>
                <w:rFonts w:hint="eastAsia" w:ascii="Times New Roman" w:eastAsia="方正楷体_GBK" w:cs="仿宋" w:hAnsiTheme="minorHAnsi"/>
                <w:kern w:val="2"/>
                <w:sz w:val="24"/>
                <w:szCs w:val="24"/>
                <w:highlight w:val="none"/>
                <w:lang w:bidi="en-US"/>
              </w:rPr>
              <w:t>0.66</w:t>
            </w:r>
          </w:p>
        </w:tc>
      </w:tr>
      <w:tr w14:paraId="416E9E0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52743C04">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10</w:t>
            </w:r>
          </w:p>
        </w:tc>
        <w:tc>
          <w:tcPr>
            <w:tcW w:w="678" w:type="pct"/>
            <w:tcMar>
              <w:left w:w="113" w:type="dxa"/>
              <w:right w:w="113" w:type="dxa"/>
            </w:tcMar>
            <w:vAlign w:val="center"/>
          </w:tcPr>
          <w:p w14:paraId="67013947">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华士镇</w:t>
            </w:r>
          </w:p>
        </w:tc>
        <w:tc>
          <w:tcPr>
            <w:tcW w:w="1475" w:type="pct"/>
            <w:shd w:val="clear" w:color="auto" w:fill="auto"/>
            <w:tcMar>
              <w:left w:w="113" w:type="dxa"/>
              <w:right w:w="113" w:type="dxa"/>
            </w:tcMar>
            <w:vAlign w:val="center"/>
          </w:tcPr>
          <w:p w14:paraId="30FCDB90">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陆丰村保障性安居工程</w:t>
            </w:r>
          </w:p>
        </w:tc>
        <w:tc>
          <w:tcPr>
            <w:tcW w:w="1731" w:type="pct"/>
            <w:shd w:val="clear" w:color="auto" w:fill="auto"/>
            <w:tcMar>
              <w:left w:w="113" w:type="dxa"/>
              <w:right w:w="113" w:type="dxa"/>
            </w:tcMar>
            <w:vAlign w:val="center"/>
          </w:tcPr>
          <w:p w14:paraId="126255A0">
            <w:pPr>
              <w:widowControl/>
              <w:spacing w:line="300" w:lineRule="exact"/>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陆东大街北、荷花路东、华陆路西侧</w:t>
            </w:r>
          </w:p>
        </w:tc>
        <w:tc>
          <w:tcPr>
            <w:tcW w:w="716" w:type="pct"/>
            <w:shd w:val="clear" w:color="auto" w:fill="auto"/>
            <w:tcMar>
              <w:left w:w="113" w:type="dxa"/>
              <w:right w:w="113" w:type="dxa"/>
            </w:tcMar>
            <w:vAlign w:val="center"/>
          </w:tcPr>
          <w:p w14:paraId="2A77973B">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0.5</w:t>
            </w:r>
          </w:p>
        </w:tc>
      </w:tr>
      <w:tr w14:paraId="2262C3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491E6E22">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11</w:t>
            </w:r>
          </w:p>
        </w:tc>
        <w:tc>
          <w:tcPr>
            <w:tcW w:w="678" w:type="pct"/>
            <w:tcMar>
              <w:left w:w="113" w:type="dxa"/>
              <w:right w:w="113" w:type="dxa"/>
            </w:tcMar>
            <w:vAlign w:val="center"/>
          </w:tcPr>
          <w:p w14:paraId="1972E2B3">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rPr>
              <w:t>周庄镇</w:t>
            </w:r>
          </w:p>
        </w:tc>
        <w:tc>
          <w:tcPr>
            <w:tcW w:w="1475" w:type="pct"/>
            <w:shd w:val="clear" w:color="auto" w:fill="auto"/>
            <w:tcMar>
              <w:left w:w="113" w:type="dxa"/>
              <w:right w:w="113" w:type="dxa"/>
            </w:tcMar>
            <w:vAlign w:val="center"/>
          </w:tcPr>
          <w:p w14:paraId="2485F163">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周庄镇长寿保障性</w:t>
            </w:r>
          </w:p>
          <w:p w14:paraId="3A104CEF">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安居工程</w:t>
            </w:r>
          </w:p>
        </w:tc>
        <w:tc>
          <w:tcPr>
            <w:tcW w:w="1731" w:type="pct"/>
            <w:shd w:val="clear" w:color="auto" w:fill="auto"/>
            <w:tcMar>
              <w:left w:w="113" w:type="dxa"/>
              <w:right w:w="113" w:type="dxa"/>
            </w:tcMar>
            <w:vAlign w:val="center"/>
          </w:tcPr>
          <w:p w14:paraId="0C452B2B">
            <w:pPr>
              <w:widowControl/>
              <w:spacing w:line="300" w:lineRule="exact"/>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永盛路东、云顾路北侧</w:t>
            </w:r>
          </w:p>
        </w:tc>
        <w:tc>
          <w:tcPr>
            <w:tcW w:w="716" w:type="pct"/>
            <w:shd w:val="clear" w:color="auto" w:fill="auto"/>
            <w:tcMar>
              <w:left w:w="113" w:type="dxa"/>
              <w:right w:w="113" w:type="dxa"/>
            </w:tcMar>
            <w:vAlign w:val="center"/>
          </w:tcPr>
          <w:p w14:paraId="09DF86D6">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eastAsia="en-US" w:bidi="en-US"/>
              </w:rPr>
              <w:t>2.16</w:t>
            </w:r>
          </w:p>
        </w:tc>
      </w:tr>
      <w:tr w14:paraId="7AE7E29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39326E74">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12</w:t>
            </w:r>
          </w:p>
        </w:tc>
        <w:tc>
          <w:tcPr>
            <w:tcW w:w="678" w:type="pct"/>
            <w:tcMar>
              <w:left w:w="113" w:type="dxa"/>
              <w:right w:w="113" w:type="dxa"/>
            </w:tcMar>
            <w:vAlign w:val="center"/>
          </w:tcPr>
          <w:p w14:paraId="311B057A">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新桥镇</w:t>
            </w:r>
          </w:p>
        </w:tc>
        <w:tc>
          <w:tcPr>
            <w:tcW w:w="1475" w:type="pct"/>
            <w:shd w:val="clear" w:color="auto" w:fill="auto"/>
            <w:tcMar>
              <w:left w:w="113" w:type="dxa"/>
              <w:right w:w="113" w:type="dxa"/>
            </w:tcMar>
            <w:vAlign w:val="center"/>
          </w:tcPr>
          <w:p w14:paraId="53F951CA">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新都苑二村六期</w:t>
            </w:r>
          </w:p>
        </w:tc>
        <w:tc>
          <w:tcPr>
            <w:tcW w:w="1731" w:type="pct"/>
            <w:shd w:val="clear" w:color="auto" w:fill="auto"/>
            <w:tcMar>
              <w:left w:w="113" w:type="dxa"/>
              <w:right w:w="113" w:type="dxa"/>
            </w:tcMar>
            <w:vAlign w:val="center"/>
          </w:tcPr>
          <w:p w14:paraId="2977F41B">
            <w:pPr>
              <w:widowControl/>
              <w:spacing w:line="300" w:lineRule="exact"/>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康定路西、陶新南路东</w:t>
            </w:r>
          </w:p>
        </w:tc>
        <w:tc>
          <w:tcPr>
            <w:tcW w:w="716" w:type="pct"/>
            <w:shd w:val="clear" w:color="auto" w:fill="auto"/>
            <w:tcMar>
              <w:left w:w="113" w:type="dxa"/>
              <w:right w:w="113" w:type="dxa"/>
            </w:tcMar>
            <w:vAlign w:val="center"/>
          </w:tcPr>
          <w:p w14:paraId="42C7F4DE">
            <w:pPr>
              <w:widowControl/>
              <w:spacing w:line="300" w:lineRule="exact"/>
              <w:jc w:val="center"/>
              <w:textAlignment w:val="center"/>
              <w:rPr>
                <w:rFonts w:ascii="Times New Roman" w:eastAsia="方正楷体_GBK" w:cs="仿宋" w:hAnsiTheme="minorHAnsi"/>
                <w:kern w:val="2"/>
                <w:sz w:val="24"/>
                <w:szCs w:val="24"/>
                <w:highlight w:val="none"/>
                <w:lang w:eastAsia="en-US" w:bidi="en-US"/>
              </w:rPr>
            </w:pPr>
            <w:r>
              <w:rPr>
                <w:rFonts w:hint="eastAsia" w:ascii="Times New Roman" w:eastAsia="方正楷体_GBK" w:cs="仿宋" w:hAnsiTheme="minorHAnsi"/>
                <w:kern w:val="2"/>
                <w:sz w:val="24"/>
                <w:szCs w:val="24"/>
                <w:highlight w:val="none"/>
                <w:lang w:bidi="en-US"/>
              </w:rPr>
              <w:t>1.0591</w:t>
            </w:r>
          </w:p>
        </w:tc>
      </w:tr>
      <w:tr w14:paraId="7E8310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506C039C">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13</w:t>
            </w:r>
          </w:p>
        </w:tc>
        <w:tc>
          <w:tcPr>
            <w:tcW w:w="678" w:type="pct"/>
            <w:tcMar>
              <w:left w:w="113" w:type="dxa"/>
              <w:right w:w="113" w:type="dxa"/>
            </w:tcMar>
            <w:vAlign w:val="center"/>
          </w:tcPr>
          <w:p w14:paraId="406F9954">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新桥镇</w:t>
            </w:r>
          </w:p>
        </w:tc>
        <w:tc>
          <w:tcPr>
            <w:tcW w:w="1475" w:type="pct"/>
            <w:shd w:val="clear" w:color="auto" w:fill="auto"/>
            <w:tcMar>
              <w:left w:w="113" w:type="dxa"/>
              <w:right w:w="113" w:type="dxa"/>
            </w:tcMar>
            <w:vAlign w:val="center"/>
          </w:tcPr>
          <w:p w14:paraId="56E45946">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黄河一村六期</w:t>
            </w:r>
          </w:p>
        </w:tc>
        <w:tc>
          <w:tcPr>
            <w:tcW w:w="1731" w:type="pct"/>
            <w:shd w:val="clear" w:color="auto" w:fill="auto"/>
            <w:tcMar>
              <w:left w:w="113" w:type="dxa"/>
              <w:right w:w="113" w:type="dxa"/>
            </w:tcMar>
            <w:vAlign w:val="center"/>
          </w:tcPr>
          <w:p w14:paraId="1911ABEF">
            <w:pPr>
              <w:widowControl/>
              <w:spacing w:line="300" w:lineRule="exact"/>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新郁中路北、黄河一村东、文化中心西侧</w:t>
            </w:r>
          </w:p>
        </w:tc>
        <w:tc>
          <w:tcPr>
            <w:tcW w:w="716" w:type="pct"/>
            <w:shd w:val="clear" w:color="auto" w:fill="auto"/>
            <w:tcMar>
              <w:left w:w="113" w:type="dxa"/>
              <w:right w:w="113" w:type="dxa"/>
            </w:tcMar>
            <w:vAlign w:val="center"/>
          </w:tcPr>
          <w:p w14:paraId="3877E7BF">
            <w:pPr>
              <w:widowControl/>
              <w:spacing w:line="300" w:lineRule="exact"/>
              <w:jc w:val="center"/>
              <w:textAlignment w:val="center"/>
              <w:rPr>
                <w:rFonts w:ascii="Times New Roman" w:eastAsia="方正楷体_GBK" w:cs="仿宋" w:hAnsiTheme="minorHAnsi"/>
                <w:kern w:val="2"/>
                <w:sz w:val="24"/>
                <w:szCs w:val="24"/>
                <w:highlight w:val="none"/>
                <w:lang w:eastAsia="en-US" w:bidi="en-US"/>
              </w:rPr>
            </w:pPr>
            <w:r>
              <w:rPr>
                <w:rFonts w:hint="eastAsia" w:ascii="Times New Roman" w:eastAsia="方正楷体_GBK" w:cs="仿宋" w:hAnsiTheme="minorHAnsi"/>
                <w:kern w:val="2"/>
                <w:sz w:val="24"/>
                <w:szCs w:val="24"/>
                <w:highlight w:val="none"/>
                <w:lang w:bidi="en-US"/>
              </w:rPr>
              <w:t>0.7310</w:t>
            </w:r>
          </w:p>
        </w:tc>
      </w:tr>
      <w:tr w14:paraId="66DAB14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083A63E2">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14</w:t>
            </w:r>
          </w:p>
        </w:tc>
        <w:tc>
          <w:tcPr>
            <w:tcW w:w="678" w:type="pct"/>
            <w:tcMar>
              <w:left w:w="113" w:type="dxa"/>
              <w:right w:w="113" w:type="dxa"/>
            </w:tcMar>
            <w:vAlign w:val="center"/>
          </w:tcPr>
          <w:p w14:paraId="4E3BD737">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新桥镇</w:t>
            </w:r>
          </w:p>
        </w:tc>
        <w:tc>
          <w:tcPr>
            <w:tcW w:w="1475" w:type="pct"/>
            <w:shd w:val="clear" w:color="auto" w:fill="auto"/>
            <w:tcMar>
              <w:left w:w="113" w:type="dxa"/>
              <w:right w:w="113" w:type="dxa"/>
            </w:tcMar>
            <w:vAlign w:val="center"/>
          </w:tcPr>
          <w:p w14:paraId="595FDB1C">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南新桥地块</w:t>
            </w:r>
          </w:p>
        </w:tc>
        <w:tc>
          <w:tcPr>
            <w:tcW w:w="1731" w:type="pct"/>
            <w:shd w:val="clear" w:color="auto" w:fill="auto"/>
            <w:tcMar>
              <w:left w:w="113" w:type="dxa"/>
              <w:right w:w="113" w:type="dxa"/>
            </w:tcMar>
            <w:vAlign w:val="center"/>
          </w:tcPr>
          <w:p w14:paraId="0D97823B">
            <w:pPr>
              <w:widowControl/>
              <w:spacing w:line="300" w:lineRule="exact"/>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康定路西、新郁中路南</w:t>
            </w:r>
          </w:p>
        </w:tc>
        <w:tc>
          <w:tcPr>
            <w:tcW w:w="716" w:type="pct"/>
            <w:shd w:val="clear" w:color="auto" w:fill="auto"/>
            <w:tcMar>
              <w:left w:w="113" w:type="dxa"/>
              <w:right w:w="113" w:type="dxa"/>
            </w:tcMar>
            <w:vAlign w:val="center"/>
          </w:tcPr>
          <w:p w14:paraId="4495D249">
            <w:pPr>
              <w:widowControl/>
              <w:spacing w:line="300" w:lineRule="exact"/>
              <w:jc w:val="center"/>
              <w:textAlignment w:val="center"/>
              <w:rPr>
                <w:rFonts w:ascii="Times New Roman" w:eastAsia="方正楷体_GBK" w:cs="仿宋" w:hAnsiTheme="minorHAnsi"/>
                <w:kern w:val="2"/>
                <w:sz w:val="24"/>
                <w:szCs w:val="24"/>
                <w:highlight w:val="none"/>
                <w:lang w:eastAsia="en-US" w:bidi="en-US"/>
              </w:rPr>
            </w:pPr>
            <w:r>
              <w:rPr>
                <w:rFonts w:hint="eastAsia" w:ascii="Times New Roman" w:eastAsia="方正楷体_GBK" w:cs="仿宋" w:hAnsiTheme="minorHAnsi"/>
                <w:kern w:val="2"/>
                <w:sz w:val="24"/>
                <w:szCs w:val="24"/>
                <w:highlight w:val="none"/>
                <w:lang w:bidi="en-US"/>
              </w:rPr>
              <w:t>3.4195</w:t>
            </w:r>
          </w:p>
        </w:tc>
      </w:tr>
      <w:tr w14:paraId="4F930F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97" w:type="pct"/>
            <w:shd w:val="clear" w:color="auto" w:fill="auto"/>
            <w:tcMar>
              <w:left w:w="113" w:type="dxa"/>
              <w:right w:w="113" w:type="dxa"/>
            </w:tcMar>
            <w:vAlign w:val="center"/>
          </w:tcPr>
          <w:p w14:paraId="0D637F97">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15</w:t>
            </w:r>
          </w:p>
        </w:tc>
        <w:tc>
          <w:tcPr>
            <w:tcW w:w="678" w:type="pct"/>
            <w:tcMar>
              <w:left w:w="113" w:type="dxa"/>
              <w:right w:w="113" w:type="dxa"/>
            </w:tcMar>
            <w:vAlign w:val="center"/>
          </w:tcPr>
          <w:p w14:paraId="44517C45">
            <w:pPr>
              <w:pStyle w:val="27"/>
              <w:overflowPunct w:val="0"/>
              <w:autoSpaceDE/>
              <w:autoSpaceDN/>
              <w:spacing w:line="300" w:lineRule="exact"/>
              <w:jc w:val="center"/>
              <w:rPr>
                <w:rFonts w:ascii="Times New Roman" w:hAnsi="Times New Roman" w:eastAsia="方正楷体_GBK" w:cs="仿宋"/>
                <w:kern w:val="2"/>
                <w:sz w:val="24"/>
                <w:szCs w:val="24"/>
                <w:highlight w:val="none"/>
                <w:lang w:eastAsia="zh-CN"/>
              </w:rPr>
            </w:pPr>
            <w:r>
              <w:rPr>
                <w:rFonts w:hint="eastAsia" w:ascii="Times New Roman" w:hAnsi="Times New Roman" w:eastAsia="方正楷体_GBK" w:cs="仿宋"/>
                <w:kern w:val="2"/>
                <w:sz w:val="24"/>
                <w:szCs w:val="24"/>
                <w:highlight w:val="none"/>
                <w:lang w:eastAsia="zh-CN"/>
              </w:rPr>
              <w:t>长泾镇</w:t>
            </w:r>
          </w:p>
        </w:tc>
        <w:tc>
          <w:tcPr>
            <w:tcW w:w="1475" w:type="pct"/>
            <w:shd w:val="clear" w:color="auto" w:fill="auto"/>
            <w:tcMar>
              <w:left w:w="113" w:type="dxa"/>
              <w:right w:w="113" w:type="dxa"/>
            </w:tcMar>
            <w:vAlign w:val="center"/>
          </w:tcPr>
          <w:p w14:paraId="4082BEEE">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长新花苑保障性</w:t>
            </w:r>
          </w:p>
          <w:p w14:paraId="39579330">
            <w:pPr>
              <w:widowControl/>
              <w:spacing w:line="300" w:lineRule="exact"/>
              <w:jc w:val="center"/>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安居工程</w:t>
            </w:r>
          </w:p>
        </w:tc>
        <w:tc>
          <w:tcPr>
            <w:tcW w:w="1731" w:type="pct"/>
            <w:shd w:val="clear" w:color="auto" w:fill="auto"/>
            <w:tcMar>
              <w:left w:w="113" w:type="dxa"/>
              <w:right w:w="113" w:type="dxa"/>
            </w:tcMar>
            <w:vAlign w:val="center"/>
          </w:tcPr>
          <w:p w14:paraId="5D0E127F">
            <w:pPr>
              <w:widowControl/>
              <w:spacing w:line="300" w:lineRule="exact"/>
              <w:textAlignment w:val="center"/>
              <w:rPr>
                <w:rFonts w:ascii="Times New Roman" w:eastAsia="方正楷体_GBK" w:cs="仿宋" w:hAnsiTheme="minorHAnsi"/>
                <w:kern w:val="2"/>
                <w:sz w:val="24"/>
                <w:szCs w:val="24"/>
                <w:highlight w:val="none"/>
                <w:lang w:bidi="en-US"/>
              </w:rPr>
            </w:pPr>
            <w:r>
              <w:rPr>
                <w:rFonts w:hint="eastAsia" w:ascii="Times New Roman" w:eastAsia="方正楷体_GBK" w:cs="仿宋" w:hAnsiTheme="minorHAnsi"/>
                <w:kern w:val="2"/>
                <w:sz w:val="24"/>
                <w:szCs w:val="24"/>
                <w:highlight w:val="none"/>
                <w:lang w:bidi="en-US"/>
              </w:rPr>
              <w:t>长新大道以西、环南路以北、百川公园以南</w:t>
            </w:r>
          </w:p>
        </w:tc>
        <w:tc>
          <w:tcPr>
            <w:tcW w:w="716" w:type="pct"/>
            <w:shd w:val="clear" w:color="auto" w:fill="auto"/>
            <w:tcMar>
              <w:left w:w="113" w:type="dxa"/>
              <w:right w:w="113" w:type="dxa"/>
            </w:tcMar>
            <w:vAlign w:val="center"/>
          </w:tcPr>
          <w:p w14:paraId="68E52B05">
            <w:pPr>
              <w:widowControl/>
              <w:spacing w:line="300" w:lineRule="exact"/>
              <w:jc w:val="center"/>
              <w:textAlignment w:val="center"/>
              <w:rPr>
                <w:rFonts w:ascii="Times New Roman" w:eastAsia="方正楷体_GBK" w:cs="仿宋" w:hAnsiTheme="minorHAnsi"/>
                <w:kern w:val="2"/>
                <w:sz w:val="24"/>
                <w:szCs w:val="24"/>
                <w:highlight w:val="none"/>
                <w:lang w:eastAsia="en-US" w:bidi="en-US"/>
              </w:rPr>
            </w:pPr>
            <w:r>
              <w:rPr>
                <w:rFonts w:hint="eastAsia" w:ascii="Times New Roman" w:eastAsia="方正楷体_GBK" w:cs="仿宋" w:hAnsiTheme="minorHAnsi"/>
                <w:kern w:val="2"/>
                <w:sz w:val="24"/>
                <w:szCs w:val="24"/>
                <w:highlight w:val="none"/>
                <w:lang w:bidi="en-US"/>
              </w:rPr>
              <w:t>2.13</w:t>
            </w:r>
          </w:p>
        </w:tc>
      </w:tr>
    </w:tbl>
    <w:p w14:paraId="3AFCE3B7">
      <w:pPr>
        <w:overflowPunct w:val="0"/>
        <w:spacing w:line="20" w:lineRule="exact"/>
        <w:rPr>
          <w:rFonts w:ascii="Times New Roman"/>
          <w:kern w:val="2"/>
          <w:sz w:val="2"/>
          <w:szCs w:val="2"/>
          <w:highlight w:val="none"/>
        </w:rPr>
      </w:pPr>
    </w:p>
    <w:sectPr>
      <w:footerReference r:id="rId3" w:type="default"/>
      <w:pgSz w:w="11906" w:h="16838"/>
      <w:pgMar w:top="2041" w:right="1644" w:bottom="1418" w:left="1814" w:header="1134" w:footer="1418" w:gutter="0"/>
      <w:cols w:space="425" w:num="1"/>
      <w:docGrid w:type="linesAndChars" w:linePitch="581" w:charSpace="-375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embedRegular r:id="rId1" w:fontKey="{AF1C1CF8-792A-4C16-9E39-B8DF7490571E}"/>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9D9C5AAB-8A14-4635-8277-79195D1C32B9}"/>
  </w:font>
  <w:font w:name="方正仿宋_GBK">
    <w:panose1 w:val="03000509000000000000"/>
    <w:charset w:val="86"/>
    <w:family w:val="script"/>
    <w:pitch w:val="default"/>
    <w:sig w:usb0="00000001" w:usb1="080E0000" w:usb2="00000000" w:usb3="00000000" w:csb0="00040000" w:csb1="00000000"/>
    <w:embedRegular r:id="rId3" w:fontKey="{AFB238C7-A5D7-4EA9-AD4F-631ABF4F4A86}"/>
  </w:font>
  <w:font w:name="仿宋">
    <w:panose1 w:val="02010609060101010101"/>
    <w:charset w:val="86"/>
    <w:family w:val="modern"/>
    <w:pitch w:val="default"/>
    <w:sig w:usb0="800002BF" w:usb1="38CF7CFA" w:usb2="00000016" w:usb3="00000000" w:csb0="00040001" w:csb1="00000000"/>
    <w:embedRegular r:id="rId4" w:fontKey="{2A5C9923-0F7B-4728-BE9F-B79270B486EA}"/>
  </w:font>
  <w:font w:name="方正小标宋_GBK">
    <w:panose1 w:val="03000509000000000000"/>
    <w:charset w:val="86"/>
    <w:family w:val="script"/>
    <w:pitch w:val="default"/>
    <w:sig w:usb0="00000001" w:usb1="080E0000" w:usb2="00000000" w:usb3="00000000" w:csb0="00040000" w:csb1="00000000"/>
    <w:embedRegular r:id="rId5" w:fontKey="{0C97FAC8-B838-4D04-AD22-3B411C0474FA}"/>
  </w:font>
  <w:font w:name="Arial Unicode MS">
    <w:panose1 w:val="020B0604020202020204"/>
    <w:charset w:val="86"/>
    <w:family w:val="swiss"/>
    <w:pitch w:val="default"/>
    <w:sig w:usb0="FFFFFFFF" w:usb1="E9FFFFFF" w:usb2="0000003F" w:usb3="00000000" w:csb0="603F01FF" w:csb1="FFFF0000"/>
  </w:font>
  <w:font w:name="方正楷体_GBK">
    <w:panose1 w:val="03000509000000000000"/>
    <w:charset w:val="86"/>
    <w:family w:val="script"/>
    <w:pitch w:val="default"/>
    <w:sig w:usb0="00000001" w:usb1="080E0000" w:usb2="00000000" w:usb3="00000000" w:csb0="00040000" w:csb1="00000000"/>
    <w:embedRegular r:id="rId6" w:fontKey="{B0F61AAF-7198-4EBD-BCA7-C319366E0BBB}"/>
  </w:font>
  <w:font w:name="方正黑体_GBK">
    <w:panose1 w:val="03000509000000000000"/>
    <w:charset w:val="86"/>
    <w:family w:val="script"/>
    <w:pitch w:val="default"/>
    <w:sig w:usb0="00000001" w:usb1="080E0000" w:usb2="00000000" w:usb3="00000000" w:csb0="00040000" w:csb1="00000000"/>
    <w:embedRegular r:id="rId7" w:fontKey="{0429114A-942F-436E-AEE2-D810FE4B1B65}"/>
  </w:font>
  <w:font w:name="方正楷体_GB2312">
    <w:panose1 w:val="02000000000000000000"/>
    <w:charset w:val="86"/>
    <w:family w:val="auto"/>
    <w:pitch w:val="default"/>
    <w:sig w:usb0="A00002BF" w:usb1="184F6CFA" w:usb2="00000012" w:usb3="00000000" w:csb0="00040001" w:csb1="00000000"/>
    <w:embedRegular r:id="rId8" w:fontKey="{DA71AD1A-0A85-445B-9268-56A0DFD8794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61222">
    <w:pPr>
      <w:pStyle w:val="6"/>
      <w:snapToGrid/>
      <w:jc w:val="center"/>
      <w:rPr>
        <w:rFonts w:hint="eastAsia" w:ascii="宋体" w:hAnsi="宋体" w:eastAsia="宋体"/>
        <w:sz w:val="28"/>
        <w:szCs w:val="28"/>
      </w:rPr>
    </w:pPr>
    <w:r>
      <w:rPr>
        <w:rFonts w:hint="eastAsia" w:ascii="宋体" w:hAnsi="宋体" w:eastAsia="宋体"/>
        <w:sz w:val="28"/>
        <w:szCs w:val="28"/>
      </w:rPr>
      <w:t>—</w:t>
    </w:r>
    <w:r>
      <w:rPr>
        <w:rFonts w:ascii="Times New Roman" w:eastAsia="宋体"/>
        <w:sz w:val="28"/>
        <w:szCs w:val="28"/>
      </w:rPr>
      <w:fldChar w:fldCharType="begin"/>
    </w:r>
    <w:r>
      <w:rPr>
        <w:rFonts w:ascii="Times New Roman" w:eastAsia="宋体"/>
        <w:sz w:val="28"/>
        <w:szCs w:val="28"/>
      </w:rPr>
      <w:instrText xml:space="preserve"> PAGE   \* MERGEFORMAT </w:instrText>
    </w:r>
    <w:r>
      <w:rPr>
        <w:rFonts w:ascii="Times New Roman" w:eastAsia="宋体"/>
        <w:sz w:val="28"/>
        <w:szCs w:val="28"/>
      </w:rPr>
      <w:fldChar w:fldCharType="separate"/>
    </w:r>
    <w:r>
      <w:rPr>
        <w:rFonts w:ascii="Times New Roman" w:eastAsia="宋体"/>
        <w:sz w:val="28"/>
        <w:szCs w:val="28"/>
        <w:lang w:val="zh-CN"/>
      </w:rPr>
      <w:t>14</w:t>
    </w:r>
    <w:r>
      <w:rPr>
        <w:rFonts w:ascii="Times New Roman"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mirrorMargins w:val="1"/>
  <w:bordersDoNotSurroundHeader w:val="1"/>
  <w:bordersDoNotSurroundFooter w:val="1"/>
  <w:documentProtection w:enforcement="0"/>
  <w:defaultTabStop w:val="420"/>
  <w:drawingGridHorizontalSpacing w:val="151"/>
  <w:drawingGridVerticalSpacing w:val="58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WE5YTRjOWZhODg4Yjk2YmQ2ZTVjOWU1MjI1ODEzYWMifQ=="/>
  </w:docVars>
  <w:rsids>
    <w:rsidRoot w:val="00DF793D"/>
    <w:rsid w:val="00000770"/>
    <w:rsid w:val="00000959"/>
    <w:rsid w:val="000017E7"/>
    <w:rsid w:val="00001A77"/>
    <w:rsid w:val="00001E1F"/>
    <w:rsid w:val="00001FAF"/>
    <w:rsid w:val="000026DD"/>
    <w:rsid w:val="00002732"/>
    <w:rsid w:val="00002DDC"/>
    <w:rsid w:val="00003C40"/>
    <w:rsid w:val="000043E6"/>
    <w:rsid w:val="000047FC"/>
    <w:rsid w:val="00010010"/>
    <w:rsid w:val="00013CA0"/>
    <w:rsid w:val="00014695"/>
    <w:rsid w:val="00014B3C"/>
    <w:rsid w:val="0002126F"/>
    <w:rsid w:val="00021D2F"/>
    <w:rsid w:val="0002542D"/>
    <w:rsid w:val="000258A4"/>
    <w:rsid w:val="00025B01"/>
    <w:rsid w:val="00031CAB"/>
    <w:rsid w:val="00034D93"/>
    <w:rsid w:val="0003684E"/>
    <w:rsid w:val="000374FD"/>
    <w:rsid w:val="00041746"/>
    <w:rsid w:val="00043757"/>
    <w:rsid w:val="000448D2"/>
    <w:rsid w:val="00044946"/>
    <w:rsid w:val="0004542C"/>
    <w:rsid w:val="00045F5C"/>
    <w:rsid w:val="00046824"/>
    <w:rsid w:val="000468D6"/>
    <w:rsid w:val="0004740E"/>
    <w:rsid w:val="000478D9"/>
    <w:rsid w:val="000520E5"/>
    <w:rsid w:val="0005215D"/>
    <w:rsid w:val="000521FD"/>
    <w:rsid w:val="00052444"/>
    <w:rsid w:val="000534D6"/>
    <w:rsid w:val="00055016"/>
    <w:rsid w:val="000567C3"/>
    <w:rsid w:val="00056BBE"/>
    <w:rsid w:val="000575A3"/>
    <w:rsid w:val="00060F62"/>
    <w:rsid w:val="00062879"/>
    <w:rsid w:val="00063F89"/>
    <w:rsid w:val="000648AA"/>
    <w:rsid w:val="00072372"/>
    <w:rsid w:val="00072378"/>
    <w:rsid w:val="0007323B"/>
    <w:rsid w:val="000732FB"/>
    <w:rsid w:val="00074E9B"/>
    <w:rsid w:val="00075CB8"/>
    <w:rsid w:val="000819ED"/>
    <w:rsid w:val="00081B7A"/>
    <w:rsid w:val="00084643"/>
    <w:rsid w:val="00084D16"/>
    <w:rsid w:val="000850F4"/>
    <w:rsid w:val="000856C9"/>
    <w:rsid w:val="00091254"/>
    <w:rsid w:val="0009150A"/>
    <w:rsid w:val="000916BB"/>
    <w:rsid w:val="00093605"/>
    <w:rsid w:val="00094B93"/>
    <w:rsid w:val="00096E62"/>
    <w:rsid w:val="00097353"/>
    <w:rsid w:val="0009788D"/>
    <w:rsid w:val="00097A2C"/>
    <w:rsid w:val="00097DDC"/>
    <w:rsid w:val="000A12B3"/>
    <w:rsid w:val="000A2565"/>
    <w:rsid w:val="000A2892"/>
    <w:rsid w:val="000A5256"/>
    <w:rsid w:val="000A6931"/>
    <w:rsid w:val="000A6CE9"/>
    <w:rsid w:val="000A7356"/>
    <w:rsid w:val="000A7B14"/>
    <w:rsid w:val="000B03F2"/>
    <w:rsid w:val="000B0CC3"/>
    <w:rsid w:val="000B2160"/>
    <w:rsid w:val="000B2F6E"/>
    <w:rsid w:val="000B35DC"/>
    <w:rsid w:val="000B3DC5"/>
    <w:rsid w:val="000B436E"/>
    <w:rsid w:val="000B4A53"/>
    <w:rsid w:val="000B5167"/>
    <w:rsid w:val="000B54FD"/>
    <w:rsid w:val="000B58C9"/>
    <w:rsid w:val="000B5BB1"/>
    <w:rsid w:val="000B6B59"/>
    <w:rsid w:val="000B72E3"/>
    <w:rsid w:val="000B77A3"/>
    <w:rsid w:val="000C04C2"/>
    <w:rsid w:val="000C0D5D"/>
    <w:rsid w:val="000C108B"/>
    <w:rsid w:val="000C2D79"/>
    <w:rsid w:val="000C3417"/>
    <w:rsid w:val="000C3765"/>
    <w:rsid w:val="000C490A"/>
    <w:rsid w:val="000C57AD"/>
    <w:rsid w:val="000C6FAB"/>
    <w:rsid w:val="000C75EA"/>
    <w:rsid w:val="000D12C7"/>
    <w:rsid w:val="000D1AE0"/>
    <w:rsid w:val="000D1D31"/>
    <w:rsid w:val="000D22DA"/>
    <w:rsid w:val="000D38B5"/>
    <w:rsid w:val="000D4B2B"/>
    <w:rsid w:val="000D6BAF"/>
    <w:rsid w:val="000E08FC"/>
    <w:rsid w:val="000E12C7"/>
    <w:rsid w:val="000E1441"/>
    <w:rsid w:val="000E1B12"/>
    <w:rsid w:val="000E3343"/>
    <w:rsid w:val="000E3EED"/>
    <w:rsid w:val="000E49E1"/>
    <w:rsid w:val="000E52AD"/>
    <w:rsid w:val="000E6F2D"/>
    <w:rsid w:val="000F00B7"/>
    <w:rsid w:val="000F2061"/>
    <w:rsid w:val="000F26A2"/>
    <w:rsid w:val="000F3859"/>
    <w:rsid w:val="000F3DF0"/>
    <w:rsid w:val="000F6C84"/>
    <w:rsid w:val="000F7ADC"/>
    <w:rsid w:val="00100E43"/>
    <w:rsid w:val="00101615"/>
    <w:rsid w:val="00101F38"/>
    <w:rsid w:val="00101FFC"/>
    <w:rsid w:val="00102879"/>
    <w:rsid w:val="00102A10"/>
    <w:rsid w:val="00103B61"/>
    <w:rsid w:val="001040B5"/>
    <w:rsid w:val="00105AAA"/>
    <w:rsid w:val="00106864"/>
    <w:rsid w:val="00107EAC"/>
    <w:rsid w:val="001105EF"/>
    <w:rsid w:val="00111DA7"/>
    <w:rsid w:val="00112310"/>
    <w:rsid w:val="0011347E"/>
    <w:rsid w:val="001136EB"/>
    <w:rsid w:val="0011397C"/>
    <w:rsid w:val="00114420"/>
    <w:rsid w:val="00114C73"/>
    <w:rsid w:val="00116210"/>
    <w:rsid w:val="001164F2"/>
    <w:rsid w:val="001170F0"/>
    <w:rsid w:val="00117256"/>
    <w:rsid w:val="00117C97"/>
    <w:rsid w:val="00120239"/>
    <w:rsid w:val="00120439"/>
    <w:rsid w:val="001209CB"/>
    <w:rsid w:val="00121482"/>
    <w:rsid w:val="0012243D"/>
    <w:rsid w:val="001225CC"/>
    <w:rsid w:val="00123FC5"/>
    <w:rsid w:val="00125438"/>
    <w:rsid w:val="0012671D"/>
    <w:rsid w:val="00126FC3"/>
    <w:rsid w:val="001276F5"/>
    <w:rsid w:val="00127F59"/>
    <w:rsid w:val="00130089"/>
    <w:rsid w:val="00130491"/>
    <w:rsid w:val="001323A2"/>
    <w:rsid w:val="001323E6"/>
    <w:rsid w:val="00132CF6"/>
    <w:rsid w:val="0013480F"/>
    <w:rsid w:val="001351FC"/>
    <w:rsid w:val="00135960"/>
    <w:rsid w:val="00135C2D"/>
    <w:rsid w:val="00136148"/>
    <w:rsid w:val="0013666B"/>
    <w:rsid w:val="00137167"/>
    <w:rsid w:val="00141ABF"/>
    <w:rsid w:val="00141F51"/>
    <w:rsid w:val="001425E3"/>
    <w:rsid w:val="0014260C"/>
    <w:rsid w:val="001432F0"/>
    <w:rsid w:val="00143C48"/>
    <w:rsid w:val="001444F2"/>
    <w:rsid w:val="00144AE8"/>
    <w:rsid w:val="00145B80"/>
    <w:rsid w:val="00147FDD"/>
    <w:rsid w:val="001511A8"/>
    <w:rsid w:val="00151364"/>
    <w:rsid w:val="001522CA"/>
    <w:rsid w:val="0015354C"/>
    <w:rsid w:val="00153ADB"/>
    <w:rsid w:val="0015426C"/>
    <w:rsid w:val="00155741"/>
    <w:rsid w:val="00156C86"/>
    <w:rsid w:val="00156E43"/>
    <w:rsid w:val="0016013E"/>
    <w:rsid w:val="00161944"/>
    <w:rsid w:val="00162C01"/>
    <w:rsid w:val="00163332"/>
    <w:rsid w:val="00163D72"/>
    <w:rsid w:val="001646E2"/>
    <w:rsid w:val="00165113"/>
    <w:rsid w:val="00165C87"/>
    <w:rsid w:val="00170667"/>
    <w:rsid w:val="00170D79"/>
    <w:rsid w:val="00172213"/>
    <w:rsid w:val="00172EF7"/>
    <w:rsid w:val="00174D6C"/>
    <w:rsid w:val="001766C8"/>
    <w:rsid w:val="00177883"/>
    <w:rsid w:val="00177AEB"/>
    <w:rsid w:val="001811A1"/>
    <w:rsid w:val="0018134F"/>
    <w:rsid w:val="001820E3"/>
    <w:rsid w:val="00182311"/>
    <w:rsid w:val="00185A5B"/>
    <w:rsid w:val="00185AB7"/>
    <w:rsid w:val="00185F25"/>
    <w:rsid w:val="00186846"/>
    <w:rsid w:val="001907A1"/>
    <w:rsid w:val="00193935"/>
    <w:rsid w:val="0019440D"/>
    <w:rsid w:val="00194684"/>
    <w:rsid w:val="001959A2"/>
    <w:rsid w:val="00196E63"/>
    <w:rsid w:val="001A0EF7"/>
    <w:rsid w:val="001A296F"/>
    <w:rsid w:val="001A4381"/>
    <w:rsid w:val="001A467B"/>
    <w:rsid w:val="001A4C40"/>
    <w:rsid w:val="001A4E17"/>
    <w:rsid w:val="001A5296"/>
    <w:rsid w:val="001A73B9"/>
    <w:rsid w:val="001A7825"/>
    <w:rsid w:val="001A7F0B"/>
    <w:rsid w:val="001B052F"/>
    <w:rsid w:val="001B12FA"/>
    <w:rsid w:val="001B1EFD"/>
    <w:rsid w:val="001B4190"/>
    <w:rsid w:val="001B6230"/>
    <w:rsid w:val="001B7570"/>
    <w:rsid w:val="001C1726"/>
    <w:rsid w:val="001C1AD0"/>
    <w:rsid w:val="001C2C37"/>
    <w:rsid w:val="001C3EEB"/>
    <w:rsid w:val="001C5A9F"/>
    <w:rsid w:val="001C5FD7"/>
    <w:rsid w:val="001C7FB8"/>
    <w:rsid w:val="001D1516"/>
    <w:rsid w:val="001D3ABE"/>
    <w:rsid w:val="001D4D1E"/>
    <w:rsid w:val="001D6DB6"/>
    <w:rsid w:val="001D7205"/>
    <w:rsid w:val="001D79B9"/>
    <w:rsid w:val="001E0BEE"/>
    <w:rsid w:val="001E0DFE"/>
    <w:rsid w:val="001E2D63"/>
    <w:rsid w:val="001E31FA"/>
    <w:rsid w:val="001E35F2"/>
    <w:rsid w:val="001E3AD3"/>
    <w:rsid w:val="001E3F05"/>
    <w:rsid w:val="001E767E"/>
    <w:rsid w:val="001F0D3F"/>
    <w:rsid w:val="001F0D8D"/>
    <w:rsid w:val="001F1092"/>
    <w:rsid w:val="001F1F04"/>
    <w:rsid w:val="001F2753"/>
    <w:rsid w:val="001F3551"/>
    <w:rsid w:val="001F39E3"/>
    <w:rsid w:val="001F4218"/>
    <w:rsid w:val="001F48C0"/>
    <w:rsid w:val="001F506D"/>
    <w:rsid w:val="001F5EDD"/>
    <w:rsid w:val="001F76C8"/>
    <w:rsid w:val="0020135A"/>
    <w:rsid w:val="002013E5"/>
    <w:rsid w:val="002020C6"/>
    <w:rsid w:val="00202C5D"/>
    <w:rsid w:val="002042DF"/>
    <w:rsid w:val="00204511"/>
    <w:rsid w:val="00205037"/>
    <w:rsid w:val="00207542"/>
    <w:rsid w:val="00207DA8"/>
    <w:rsid w:val="00210B87"/>
    <w:rsid w:val="002110D1"/>
    <w:rsid w:val="00213002"/>
    <w:rsid w:val="002153A7"/>
    <w:rsid w:val="0021643F"/>
    <w:rsid w:val="00216C40"/>
    <w:rsid w:val="00217351"/>
    <w:rsid w:val="00217E22"/>
    <w:rsid w:val="002200E5"/>
    <w:rsid w:val="00220ABF"/>
    <w:rsid w:val="00221092"/>
    <w:rsid w:val="00221A35"/>
    <w:rsid w:val="00223A37"/>
    <w:rsid w:val="00223DB1"/>
    <w:rsid w:val="00223F6C"/>
    <w:rsid w:val="002242DE"/>
    <w:rsid w:val="00225965"/>
    <w:rsid w:val="002272EA"/>
    <w:rsid w:val="00233680"/>
    <w:rsid w:val="00235D97"/>
    <w:rsid w:val="00236767"/>
    <w:rsid w:val="002374E9"/>
    <w:rsid w:val="002377A3"/>
    <w:rsid w:val="00240E0A"/>
    <w:rsid w:val="002422AD"/>
    <w:rsid w:val="00242659"/>
    <w:rsid w:val="00242661"/>
    <w:rsid w:val="00243486"/>
    <w:rsid w:val="0024473F"/>
    <w:rsid w:val="00251A3A"/>
    <w:rsid w:val="00251C8B"/>
    <w:rsid w:val="00252930"/>
    <w:rsid w:val="00254576"/>
    <w:rsid w:val="00254D86"/>
    <w:rsid w:val="00255989"/>
    <w:rsid w:val="002562A8"/>
    <w:rsid w:val="00256391"/>
    <w:rsid w:val="002568A1"/>
    <w:rsid w:val="00257309"/>
    <w:rsid w:val="0025788E"/>
    <w:rsid w:val="0025794B"/>
    <w:rsid w:val="00260859"/>
    <w:rsid w:val="00260A93"/>
    <w:rsid w:val="00260D72"/>
    <w:rsid w:val="002618FE"/>
    <w:rsid w:val="00261E00"/>
    <w:rsid w:val="00262224"/>
    <w:rsid w:val="00262738"/>
    <w:rsid w:val="00264E63"/>
    <w:rsid w:val="00264EA5"/>
    <w:rsid w:val="0026611C"/>
    <w:rsid w:val="002662DE"/>
    <w:rsid w:val="0026693C"/>
    <w:rsid w:val="00267F69"/>
    <w:rsid w:val="002700B9"/>
    <w:rsid w:val="00274B32"/>
    <w:rsid w:val="00276006"/>
    <w:rsid w:val="00280742"/>
    <w:rsid w:val="00280818"/>
    <w:rsid w:val="00280CD9"/>
    <w:rsid w:val="00281DBA"/>
    <w:rsid w:val="00285058"/>
    <w:rsid w:val="002859B2"/>
    <w:rsid w:val="00286195"/>
    <w:rsid w:val="002861D3"/>
    <w:rsid w:val="00286C12"/>
    <w:rsid w:val="00291D38"/>
    <w:rsid w:val="002923CC"/>
    <w:rsid w:val="00292A30"/>
    <w:rsid w:val="00295C48"/>
    <w:rsid w:val="00297048"/>
    <w:rsid w:val="002A0123"/>
    <w:rsid w:val="002A1EB9"/>
    <w:rsid w:val="002A41F2"/>
    <w:rsid w:val="002A42CA"/>
    <w:rsid w:val="002A4DA4"/>
    <w:rsid w:val="002A5127"/>
    <w:rsid w:val="002B008B"/>
    <w:rsid w:val="002B070A"/>
    <w:rsid w:val="002B1720"/>
    <w:rsid w:val="002B1E53"/>
    <w:rsid w:val="002B271A"/>
    <w:rsid w:val="002B393C"/>
    <w:rsid w:val="002B4875"/>
    <w:rsid w:val="002B50B6"/>
    <w:rsid w:val="002B5C79"/>
    <w:rsid w:val="002B5E3B"/>
    <w:rsid w:val="002B6CF4"/>
    <w:rsid w:val="002B76F2"/>
    <w:rsid w:val="002C0148"/>
    <w:rsid w:val="002C284D"/>
    <w:rsid w:val="002C3DB3"/>
    <w:rsid w:val="002C46BD"/>
    <w:rsid w:val="002C500F"/>
    <w:rsid w:val="002C520A"/>
    <w:rsid w:val="002C765B"/>
    <w:rsid w:val="002C7C66"/>
    <w:rsid w:val="002C7E0E"/>
    <w:rsid w:val="002D01EA"/>
    <w:rsid w:val="002D0319"/>
    <w:rsid w:val="002D35B3"/>
    <w:rsid w:val="002D50DB"/>
    <w:rsid w:val="002D57E5"/>
    <w:rsid w:val="002E16AE"/>
    <w:rsid w:val="002E17D7"/>
    <w:rsid w:val="002E1873"/>
    <w:rsid w:val="002E37E5"/>
    <w:rsid w:val="002E4403"/>
    <w:rsid w:val="002E48C4"/>
    <w:rsid w:val="002E4CFD"/>
    <w:rsid w:val="002E5169"/>
    <w:rsid w:val="002E53A7"/>
    <w:rsid w:val="002E61C0"/>
    <w:rsid w:val="002E649E"/>
    <w:rsid w:val="002E6B7F"/>
    <w:rsid w:val="002E770F"/>
    <w:rsid w:val="002F0003"/>
    <w:rsid w:val="002F1ADD"/>
    <w:rsid w:val="002F2361"/>
    <w:rsid w:val="002F44F8"/>
    <w:rsid w:val="002F4D21"/>
    <w:rsid w:val="002F651B"/>
    <w:rsid w:val="003015A5"/>
    <w:rsid w:val="00302000"/>
    <w:rsid w:val="0030212A"/>
    <w:rsid w:val="00303432"/>
    <w:rsid w:val="0030345D"/>
    <w:rsid w:val="00303666"/>
    <w:rsid w:val="00303D97"/>
    <w:rsid w:val="0030442F"/>
    <w:rsid w:val="003047EA"/>
    <w:rsid w:val="003048A0"/>
    <w:rsid w:val="00305B6C"/>
    <w:rsid w:val="0030694D"/>
    <w:rsid w:val="0030713C"/>
    <w:rsid w:val="00307A73"/>
    <w:rsid w:val="003108BC"/>
    <w:rsid w:val="00310DAA"/>
    <w:rsid w:val="00311C70"/>
    <w:rsid w:val="00313761"/>
    <w:rsid w:val="00314868"/>
    <w:rsid w:val="00314BF3"/>
    <w:rsid w:val="00314F1A"/>
    <w:rsid w:val="00316CFD"/>
    <w:rsid w:val="003219C1"/>
    <w:rsid w:val="003219F0"/>
    <w:rsid w:val="00322310"/>
    <w:rsid w:val="003237F7"/>
    <w:rsid w:val="0032457B"/>
    <w:rsid w:val="00324E47"/>
    <w:rsid w:val="00325385"/>
    <w:rsid w:val="00327471"/>
    <w:rsid w:val="00327795"/>
    <w:rsid w:val="0032787D"/>
    <w:rsid w:val="00327D42"/>
    <w:rsid w:val="00330F64"/>
    <w:rsid w:val="0033180A"/>
    <w:rsid w:val="00332548"/>
    <w:rsid w:val="00332C32"/>
    <w:rsid w:val="003331A9"/>
    <w:rsid w:val="003336F9"/>
    <w:rsid w:val="003342AD"/>
    <w:rsid w:val="0033469F"/>
    <w:rsid w:val="0033493E"/>
    <w:rsid w:val="00335F42"/>
    <w:rsid w:val="00336245"/>
    <w:rsid w:val="003364B9"/>
    <w:rsid w:val="0033670E"/>
    <w:rsid w:val="0033699F"/>
    <w:rsid w:val="003376F1"/>
    <w:rsid w:val="00340465"/>
    <w:rsid w:val="00341CA4"/>
    <w:rsid w:val="00341DB9"/>
    <w:rsid w:val="00342888"/>
    <w:rsid w:val="00342FE9"/>
    <w:rsid w:val="0034302B"/>
    <w:rsid w:val="0034334E"/>
    <w:rsid w:val="003440CC"/>
    <w:rsid w:val="00344945"/>
    <w:rsid w:val="0034536D"/>
    <w:rsid w:val="00346EE0"/>
    <w:rsid w:val="003521AE"/>
    <w:rsid w:val="003521DF"/>
    <w:rsid w:val="003525BB"/>
    <w:rsid w:val="00352BE2"/>
    <w:rsid w:val="00354206"/>
    <w:rsid w:val="00354570"/>
    <w:rsid w:val="00354C93"/>
    <w:rsid w:val="003555A5"/>
    <w:rsid w:val="00355736"/>
    <w:rsid w:val="003558B2"/>
    <w:rsid w:val="003578AD"/>
    <w:rsid w:val="00357B6F"/>
    <w:rsid w:val="00357C60"/>
    <w:rsid w:val="00357DD4"/>
    <w:rsid w:val="00360043"/>
    <w:rsid w:val="003601C7"/>
    <w:rsid w:val="00360A5A"/>
    <w:rsid w:val="00362947"/>
    <w:rsid w:val="003632C7"/>
    <w:rsid w:val="0036433C"/>
    <w:rsid w:val="003645EC"/>
    <w:rsid w:val="00365294"/>
    <w:rsid w:val="00367366"/>
    <w:rsid w:val="00370949"/>
    <w:rsid w:val="00371059"/>
    <w:rsid w:val="0037151D"/>
    <w:rsid w:val="00371DFA"/>
    <w:rsid w:val="0037361E"/>
    <w:rsid w:val="003741E8"/>
    <w:rsid w:val="00375205"/>
    <w:rsid w:val="00377696"/>
    <w:rsid w:val="003802CA"/>
    <w:rsid w:val="003806AC"/>
    <w:rsid w:val="00381204"/>
    <w:rsid w:val="003825BF"/>
    <w:rsid w:val="003835C7"/>
    <w:rsid w:val="00383D55"/>
    <w:rsid w:val="00384B9F"/>
    <w:rsid w:val="00385DC9"/>
    <w:rsid w:val="00385FA8"/>
    <w:rsid w:val="0038691F"/>
    <w:rsid w:val="00387654"/>
    <w:rsid w:val="003907D0"/>
    <w:rsid w:val="003925F7"/>
    <w:rsid w:val="00393251"/>
    <w:rsid w:val="0039400C"/>
    <w:rsid w:val="00395993"/>
    <w:rsid w:val="00396BAD"/>
    <w:rsid w:val="00397357"/>
    <w:rsid w:val="003978EA"/>
    <w:rsid w:val="003A1836"/>
    <w:rsid w:val="003A3D0E"/>
    <w:rsid w:val="003A420C"/>
    <w:rsid w:val="003A49B7"/>
    <w:rsid w:val="003A5049"/>
    <w:rsid w:val="003A5464"/>
    <w:rsid w:val="003A560F"/>
    <w:rsid w:val="003A712F"/>
    <w:rsid w:val="003B0363"/>
    <w:rsid w:val="003B0686"/>
    <w:rsid w:val="003B1BBB"/>
    <w:rsid w:val="003B4B7D"/>
    <w:rsid w:val="003B50AB"/>
    <w:rsid w:val="003B5B1B"/>
    <w:rsid w:val="003B6857"/>
    <w:rsid w:val="003B6CE9"/>
    <w:rsid w:val="003B6DAB"/>
    <w:rsid w:val="003C00A6"/>
    <w:rsid w:val="003C16F8"/>
    <w:rsid w:val="003C2B3A"/>
    <w:rsid w:val="003C5202"/>
    <w:rsid w:val="003C52D9"/>
    <w:rsid w:val="003C648E"/>
    <w:rsid w:val="003C68B9"/>
    <w:rsid w:val="003C7483"/>
    <w:rsid w:val="003D0B0F"/>
    <w:rsid w:val="003D0C8B"/>
    <w:rsid w:val="003D28CC"/>
    <w:rsid w:val="003D43F2"/>
    <w:rsid w:val="003D4CC1"/>
    <w:rsid w:val="003D582F"/>
    <w:rsid w:val="003D684A"/>
    <w:rsid w:val="003D6E9C"/>
    <w:rsid w:val="003E0067"/>
    <w:rsid w:val="003E0728"/>
    <w:rsid w:val="003E1113"/>
    <w:rsid w:val="003E19DD"/>
    <w:rsid w:val="003E4F76"/>
    <w:rsid w:val="003E5F99"/>
    <w:rsid w:val="003E6407"/>
    <w:rsid w:val="003F2328"/>
    <w:rsid w:val="003F23E2"/>
    <w:rsid w:val="003F2760"/>
    <w:rsid w:val="003F3283"/>
    <w:rsid w:val="003F3661"/>
    <w:rsid w:val="003F3C25"/>
    <w:rsid w:val="003F3FE0"/>
    <w:rsid w:val="003F475B"/>
    <w:rsid w:val="003F48E4"/>
    <w:rsid w:val="003F5FB8"/>
    <w:rsid w:val="003F6177"/>
    <w:rsid w:val="003F6F35"/>
    <w:rsid w:val="003F716C"/>
    <w:rsid w:val="003F7302"/>
    <w:rsid w:val="003F7C36"/>
    <w:rsid w:val="003F7E75"/>
    <w:rsid w:val="0040050E"/>
    <w:rsid w:val="00403928"/>
    <w:rsid w:val="0040479C"/>
    <w:rsid w:val="00404FAD"/>
    <w:rsid w:val="004056EB"/>
    <w:rsid w:val="0040646A"/>
    <w:rsid w:val="004133EA"/>
    <w:rsid w:val="0041386E"/>
    <w:rsid w:val="00416288"/>
    <w:rsid w:val="00417B05"/>
    <w:rsid w:val="004201CA"/>
    <w:rsid w:val="0042241B"/>
    <w:rsid w:val="004235C3"/>
    <w:rsid w:val="00424904"/>
    <w:rsid w:val="004308BF"/>
    <w:rsid w:val="00430BCD"/>
    <w:rsid w:val="004310D0"/>
    <w:rsid w:val="0043159B"/>
    <w:rsid w:val="004321F9"/>
    <w:rsid w:val="00432CB4"/>
    <w:rsid w:val="00433533"/>
    <w:rsid w:val="00433FF4"/>
    <w:rsid w:val="00434481"/>
    <w:rsid w:val="00434B46"/>
    <w:rsid w:val="00435056"/>
    <w:rsid w:val="004366B0"/>
    <w:rsid w:val="00440009"/>
    <w:rsid w:val="0044033E"/>
    <w:rsid w:val="0044176C"/>
    <w:rsid w:val="00442712"/>
    <w:rsid w:val="00447567"/>
    <w:rsid w:val="00452426"/>
    <w:rsid w:val="00452453"/>
    <w:rsid w:val="00453B1B"/>
    <w:rsid w:val="00453D7D"/>
    <w:rsid w:val="00455540"/>
    <w:rsid w:val="00456008"/>
    <w:rsid w:val="004561FC"/>
    <w:rsid w:val="00456508"/>
    <w:rsid w:val="004569F2"/>
    <w:rsid w:val="004577D8"/>
    <w:rsid w:val="00457C7E"/>
    <w:rsid w:val="00462E0E"/>
    <w:rsid w:val="004630B0"/>
    <w:rsid w:val="00463A05"/>
    <w:rsid w:val="0046643F"/>
    <w:rsid w:val="00466C72"/>
    <w:rsid w:val="00466DD2"/>
    <w:rsid w:val="00471A52"/>
    <w:rsid w:val="00471E7F"/>
    <w:rsid w:val="00472165"/>
    <w:rsid w:val="00472A94"/>
    <w:rsid w:val="00474539"/>
    <w:rsid w:val="00475C2A"/>
    <w:rsid w:val="004769F2"/>
    <w:rsid w:val="00476BF7"/>
    <w:rsid w:val="00476F95"/>
    <w:rsid w:val="00480D91"/>
    <w:rsid w:val="00481DC8"/>
    <w:rsid w:val="004827CE"/>
    <w:rsid w:val="00483D89"/>
    <w:rsid w:val="00485E78"/>
    <w:rsid w:val="004865EE"/>
    <w:rsid w:val="00490211"/>
    <w:rsid w:val="00490C0E"/>
    <w:rsid w:val="00491196"/>
    <w:rsid w:val="00491914"/>
    <w:rsid w:val="004947ED"/>
    <w:rsid w:val="004A1040"/>
    <w:rsid w:val="004A22BC"/>
    <w:rsid w:val="004A2876"/>
    <w:rsid w:val="004A32C6"/>
    <w:rsid w:val="004A3942"/>
    <w:rsid w:val="004A51B2"/>
    <w:rsid w:val="004A5BFE"/>
    <w:rsid w:val="004A7271"/>
    <w:rsid w:val="004B0970"/>
    <w:rsid w:val="004B0C4C"/>
    <w:rsid w:val="004B18FB"/>
    <w:rsid w:val="004B294B"/>
    <w:rsid w:val="004B3020"/>
    <w:rsid w:val="004B3667"/>
    <w:rsid w:val="004B4AFE"/>
    <w:rsid w:val="004B55D0"/>
    <w:rsid w:val="004B59DA"/>
    <w:rsid w:val="004B5B60"/>
    <w:rsid w:val="004C156D"/>
    <w:rsid w:val="004C1D77"/>
    <w:rsid w:val="004C255D"/>
    <w:rsid w:val="004C3142"/>
    <w:rsid w:val="004C375E"/>
    <w:rsid w:val="004C71FF"/>
    <w:rsid w:val="004C7DC0"/>
    <w:rsid w:val="004D2C77"/>
    <w:rsid w:val="004D45EC"/>
    <w:rsid w:val="004D6927"/>
    <w:rsid w:val="004D7D80"/>
    <w:rsid w:val="004E0D63"/>
    <w:rsid w:val="004E17F8"/>
    <w:rsid w:val="004E1DDE"/>
    <w:rsid w:val="004E290C"/>
    <w:rsid w:val="004E3832"/>
    <w:rsid w:val="004E48A5"/>
    <w:rsid w:val="004E6924"/>
    <w:rsid w:val="004E6F5B"/>
    <w:rsid w:val="004F0B45"/>
    <w:rsid w:val="004F270B"/>
    <w:rsid w:val="004F66DE"/>
    <w:rsid w:val="005023FA"/>
    <w:rsid w:val="00503951"/>
    <w:rsid w:val="0050398D"/>
    <w:rsid w:val="005042FC"/>
    <w:rsid w:val="005051F6"/>
    <w:rsid w:val="00505D55"/>
    <w:rsid w:val="00506995"/>
    <w:rsid w:val="00510A9C"/>
    <w:rsid w:val="00511BB7"/>
    <w:rsid w:val="00512E79"/>
    <w:rsid w:val="0051383F"/>
    <w:rsid w:val="00514703"/>
    <w:rsid w:val="00514BBA"/>
    <w:rsid w:val="00515041"/>
    <w:rsid w:val="005164CB"/>
    <w:rsid w:val="00516D69"/>
    <w:rsid w:val="005205D5"/>
    <w:rsid w:val="00521F60"/>
    <w:rsid w:val="00522F5F"/>
    <w:rsid w:val="005244A0"/>
    <w:rsid w:val="00524D0A"/>
    <w:rsid w:val="00527954"/>
    <w:rsid w:val="0053046D"/>
    <w:rsid w:val="00536D68"/>
    <w:rsid w:val="005414C0"/>
    <w:rsid w:val="00541BE4"/>
    <w:rsid w:val="00541F88"/>
    <w:rsid w:val="00543407"/>
    <w:rsid w:val="005447D2"/>
    <w:rsid w:val="0054634F"/>
    <w:rsid w:val="00547CCE"/>
    <w:rsid w:val="00547E5C"/>
    <w:rsid w:val="0055022F"/>
    <w:rsid w:val="00550EFD"/>
    <w:rsid w:val="0055350C"/>
    <w:rsid w:val="005547BB"/>
    <w:rsid w:val="00554CAC"/>
    <w:rsid w:val="005556D0"/>
    <w:rsid w:val="00556C5C"/>
    <w:rsid w:val="005612AE"/>
    <w:rsid w:val="00562A9B"/>
    <w:rsid w:val="00563D72"/>
    <w:rsid w:val="00564536"/>
    <w:rsid w:val="005653AA"/>
    <w:rsid w:val="00566ED5"/>
    <w:rsid w:val="00570608"/>
    <w:rsid w:val="00570765"/>
    <w:rsid w:val="00570CB1"/>
    <w:rsid w:val="0057121D"/>
    <w:rsid w:val="0057191E"/>
    <w:rsid w:val="00573F15"/>
    <w:rsid w:val="00574B46"/>
    <w:rsid w:val="00580525"/>
    <w:rsid w:val="00580E08"/>
    <w:rsid w:val="00583108"/>
    <w:rsid w:val="00583B2F"/>
    <w:rsid w:val="00584DD5"/>
    <w:rsid w:val="005860F4"/>
    <w:rsid w:val="0058765F"/>
    <w:rsid w:val="0058768B"/>
    <w:rsid w:val="0059042E"/>
    <w:rsid w:val="00590557"/>
    <w:rsid w:val="00593038"/>
    <w:rsid w:val="00594410"/>
    <w:rsid w:val="00597E5D"/>
    <w:rsid w:val="005A02BA"/>
    <w:rsid w:val="005A1AF1"/>
    <w:rsid w:val="005A1DAE"/>
    <w:rsid w:val="005A5FB8"/>
    <w:rsid w:val="005A7519"/>
    <w:rsid w:val="005B3FA4"/>
    <w:rsid w:val="005B45D0"/>
    <w:rsid w:val="005C02AF"/>
    <w:rsid w:val="005C1560"/>
    <w:rsid w:val="005C25FC"/>
    <w:rsid w:val="005C2F7D"/>
    <w:rsid w:val="005C36A5"/>
    <w:rsid w:val="005C4557"/>
    <w:rsid w:val="005C5522"/>
    <w:rsid w:val="005C5632"/>
    <w:rsid w:val="005C6C19"/>
    <w:rsid w:val="005C75E5"/>
    <w:rsid w:val="005D1755"/>
    <w:rsid w:val="005D3987"/>
    <w:rsid w:val="005D3BF4"/>
    <w:rsid w:val="005D3D29"/>
    <w:rsid w:val="005D49FA"/>
    <w:rsid w:val="005D523C"/>
    <w:rsid w:val="005D7ABC"/>
    <w:rsid w:val="005E008E"/>
    <w:rsid w:val="005E083D"/>
    <w:rsid w:val="005E0C5F"/>
    <w:rsid w:val="005E11E2"/>
    <w:rsid w:val="005E2233"/>
    <w:rsid w:val="005E4751"/>
    <w:rsid w:val="005E5552"/>
    <w:rsid w:val="005E56B4"/>
    <w:rsid w:val="005E61F6"/>
    <w:rsid w:val="005E703E"/>
    <w:rsid w:val="005F32D9"/>
    <w:rsid w:val="005F330E"/>
    <w:rsid w:val="005F3680"/>
    <w:rsid w:val="005F475E"/>
    <w:rsid w:val="005F4DA5"/>
    <w:rsid w:val="005F54A3"/>
    <w:rsid w:val="005F5E7E"/>
    <w:rsid w:val="00600016"/>
    <w:rsid w:val="006006A3"/>
    <w:rsid w:val="00602C43"/>
    <w:rsid w:val="00602F38"/>
    <w:rsid w:val="0060301C"/>
    <w:rsid w:val="006031FF"/>
    <w:rsid w:val="0060348C"/>
    <w:rsid w:val="00605160"/>
    <w:rsid w:val="00605735"/>
    <w:rsid w:val="0060577A"/>
    <w:rsid w:val="00606389"/>
    <w:rsid w:val="006063B3"/>
    <w:rsid w:val="00610457"/>
    <w:rsid w:val="0061070D"/>
    <w:rsid w:val="00610B1C"/>
    <w:rsid w:val="00611912"/>
    <w:rsid w:val="00611B86"/>
    <w:rsid w:val="00612963"/>
    <w:rsid w:val="00615F0E"/>
    <w:rsid w:val="00616086"/>
    <w:rsid w:val="006177E0"/>
    <w:rsid w:val="006203A9"/>
    <w:rsid w:val="00621574"/>
    <w:rsid w:val="0062398D"/>
    <w:rsid w:val="00623BFB"/>
    <w:rsid w:val="00624757"/>
    <w:rsid w:val="00625542"/>
    <w:rsid w:val="00626270"/>
    <w:rsid w:val="00627683"/>
    <w:rsid w:val="00627D17"/>
    <w:rsid w:val="00630ECC"/>
    <w:rsid w:val="00630EEB"/>
    <w:rsid w:val="006312C2"/>
    <w:rsid w:val="006316E9"/>
    <w:rsid w:val="006335E2"/>
    <w:rsid w:val="00635164"/>
    <w:rsid w:val="0063518A"/>
    <w:rsid w:val="006378B0"/>
    <w:rsid w:val="00640E09"/>
    <w:rsid w:val="0064153C"/>
    <w:rsid w:val="00641A19"/>
    <w:rsid w:val="00641B6D"/>
    <w:rsid w:val="00641D4D"/>
    <w:rsid w:val="00641E35"/>
    <w:rsid w:val="00642171"/>
    <w:rsid w:val="0064270B"/>
    <w:rsid w:val="006433B9"/>
    <w:rsid w:val="00643FA0"/>
    <w:rsid w:val="00644EA3"/>
    <w:rsid w:val="006468CF"/>
    <w:rsid w:val="00647045"/>
    <w:rsid w:val="00647E8C"/>
    <w:rsid w:val="00651C6E"/>
    <w:rsid w:val="006557D7"/>
    <w:rsid w:val="006573F9"/>
    <w:rsid w:val="00657800"/>
    <w:rsid w:val="00657E49"/>
    <w:rsid w:val="00661997"/>
    <w:rsid w:val="00662B81"/>
    <w:rsid w:val="0066379D"/>
    <w:rsid w:val="006643FB"/>
    <w:rsid w:val="00665753"/>
    <w:rsid w:val="006658AC"/>
    <w:rsid w:val="006660DD"/>
    <w:rsid w:val="00667636"/>
    <w:rsid w:val="00667EBD"/>
    <w:rsid w:val="006703D0"/>
    <w:rsid w:val="006708B5"/>
    <w:rsid w:val="00670A3A"/>
    <w:rsid w:val="00671105"/>
    <w:rsid w:val="00671EC8"/>
    <w:rsid w:val="00673F84"/>
    <w:rsid w:val="00674F06"/>
    <w:rsid w:val="00675187"/>
    <w:rsid w:val="00675677"/>
    <w:rsid w:val="006759E4"/>
    <w:rsid w:val="0067715D"/>
    <w:rsid w:val="0067718A"/>
    <w:rsid w:val="00681CF9"/>
    <w:rsid w:val="0068232D"/>
    <w:rsid w:val="0068248E"/>
    <w:rsid w:val="00682F22"/>
    <w:rsid w:val="00683FB8"/>
    <w:rsid w:val="0068441C"/>
    <w:rsid w:val="0068643D"/>
    <w:rsid w:val="0069181E"/>
    <w:rsid w:val="00693539"/>
    <w:rsid w:val="00695730"/>
    <w:rsid w:val="006A0800"/>
    <w:rsid w:val="006A0C56"/>
    <w:rsid w:val="006A1D4E"/>
    <w:rsid w:val="006A22D8"/>
    <w:rsid w:val="006A3276"/>
    <w:rsid w:val="006A362A"/>
    <w:rsid w:val="006A4095"/>
    <w:rsid w:val="006A46DC"/>
    <w:rsid w:val="006A490C"/>
    <w:rsid w:val="006A63C8"/>
    <w:rsid w:val="006A6AB1"/>
    <w:rsid w:val="006A70DC"/>
    <w:rsid w:val="006A726E"/>
    <w:rsid w:val="006B1E1E"/>
    <w:rsid w:val="006B2166"/>
    <w:rsid w:val="006B32EB"/>
    <w:rsid w:val="006B3F0C"/>
    <w:rsid w:val="006B63C6"/>
    <w:rsid w:val="006B661F"/>
    <w:rsid w:val="006C0F8B"/>
    <w:rsid w:val="006C1802"/>
    <w:rsid w:val="006C329B"/>
    <w:rsid w:val="006C5FE2"/>
    <w:rsid w:val="006C69A6"/>
    <w:rsid w:val="006D0F61"/>
    <w:rsid w:val="006D1515"/>
    <w:rsid w:val="006D176E"/>
    <w:rsid w:val="006D3604"/>
    <w:rsid w:val="006D7196"/>
    <w:rsid w:val="006D7F19"/>
    <w:rsid w:val="006E16B5"/>
    <w:rsid w:val="006E3BA5"/>
    <w:rsid w:val="006E4895"/>
    <w:rsid w:val="006E4951"/>
    <w:rsid w:val="006E4D66"/>
    <w:rsid w:val="006E7DF8"/>
    <w:rsid w:val="006F0984"/>
    <w:rsid w:val="006F0F1E"/>
    <w:rsid w:val="006F1207"/>
    <w:rsid w:val="006F1E59"/>
    <w:rsid w:val="006F23A3"/>
    <w:rsid w:val="006F2D1A"/>
    <w:rsid w:val="006F53FD"/>
    <w:rsid w:val="006F5F0C"/>
    <w:rsid w:val="006F6B25"/>
    <w:rsid w:val="006F6E93"/>
    <w:rsid w:val="007000B9"/>
    <w:rsid w:val="0070114A"/>
    <w:rsid w:val="00701834"/>
    <w:rsid w:val="007020A0"/>
    <w:rsid w:val="00702202"/>
    <w:rsid w:val="00702388"/>
    <w:rsid w:val="00702B5A"/>
    <w:rsid w:val="007030B1"/>
    <w:rsid w:val="00703FC0"/>
    <w:rsid w:val="00704191"/>
    <w:rsid w:val="007069C4"/>
    <w:rsid w:val="00707DE0"/>
    <w:rsid w:val="007101AB"/>
    <w:rsid w:val="007135D2"/>
    <w:rsid w:val="00714E12"/>
    <w:rsid w:val="007163C7"/>
    <w:rsid w:val="007179C6"/>
    <w:rsid w:val="00720468"/>
    <w:rsid w:val="00721018"/>
    <w:rsid w:val="00723C1C"/>
    <w:rsid w:val="00724857"/>
    <w:rsid w:val="00725AE5"/>
    <w:rsid w:val="00726E42"/>
    <w:rsid w:val="0072749C"/>
    <w:rsid w:val="0073181F"/>
    <w:rsid w:val="0073256C"/>
    <w:rsid w:val="00733368"/>
    <w:rsid w:val="0073356A"/>
    <w:rsid w:val="00734804"/>
    <w:rsid w:val="00740A67"/>
    <w:rsid w:val="00740BEC"/>
    <w:rsid w:val="00741328"/>
    <w:rsid w:val="00741681"/>
    <w:rsid w:val="00741BD1"/>
    <w:rsid w:val="00741C05"/>
    <w:rsid w:val="00742CD1"/>
    <w:rsid w:val="00745F97"/>
    <w:rsid w:val="0074605B"/>
    <w:rsid w:val="007460B9"/>
    <w:rsid w:val="0074642C"/>
    <w:rsid w:val="00746EC9"/>
    <w:rsid w:val="007473D4"/>
    <w:rsid w:val="00747731"/>
    <w:rsid w:val="00750270"/>
    <w:rsid w:val="00752AC0"/>
    <w:rsid w:val="00752BA6"/>
    <w:rsid w:val="00753CFC"/>
    <w:rsid w:val="00754CD7"/>
    <w:rsid w:val="00755556"/>
    <w:rsid w:val="00755848"/>
    <w:rsid w:val="00756D44"/>
    <w:rsid w:val="00757521"/>
    <w:rsid w:val="00757CA5"/>
    <w:rsid w:val="0076224A"/>
    <w:rsid w:val="007632F5"/>
    <w:rsid w:val="00765723"/>
    <w:rsid w:val="00765882"/>
    <w:rsid w:val="0076691B"/>
    <w:rsid w:val="00770B9E"/>
    <w:rsid w:val="00770CFE"/>
    <w:rsid w:val="00771B82"/>
    <w:rsid w:val="0077217F"/>
    <w:rsid w:val="00772CEE"/>
    <w:rsid w:val="00772FCB"/>
    <w:rsid w:val="007735D5"/>
    <w:rsid w:val="007743EC"/>
    <w:rsid w:val="0077473F"/>
    <w:rsid w:val="00774D27"/>
    <w:rsid w:val="007750BD"/>
    <w:rsid w:val="007756A4"/>
    <w:rsid w:val="0077669B"/>
    <w:rsid w:val="00777F98"/>
    <w:rsid w:val="00781BB3"/>
    <w:rsid w:val="00781C78"/>
    <w:rsid w:val="00782CAF"/>
    <w:rsid w:val="00783478"/>
    <w:rsid w:val="00784D0A"/>
    <w:rsid w:val="00785511"/>
    <w:rsid w:val="007862BA"/>
    <w:rsid w:val="007879EF"/>
    <w:rsid w:val="00787F84"/>
    <w:rsid w:val="0079183E"/>
    <w:rsid w:val="00791CB8"/>
    <w:rsid w:val="00792B8D"/>
    <w:rsid w:val="00792EC1"/>
    <w:rsid w:val="007947FB"/>
    <w:rsid w:val="00794AC3"/>
    <w:rsid w:val="00794D95"/>
    <w:rsid w:val="0079515B"/>
    <w:rsid w:val="0079522C"/>
    <w:rsid w:val="00795F1A"/>
    <w:rsid w:val="0079709F"/>
    <w:rsid w:val="007A03DC"/>
    <w:rsid w:val="007A14F2"/>
    <w:rsid w:val="007A1C37"/>
    <w:rsid w:val="007A40A5"/>
    <w:rsid w:val="007A4CBA"/>
    <w:rsid w:val="007A5182"/>
    <w:rsid w:val="007A55D9"/>
    <w:rsid w:val="007B1E31"/>
    <w:rsid w:val="007B45B1"/>
    <w:rsid w:val="007B5707"/>
    <w:rsid w:val="007B5770"/>
    <w:rsid w:val="007B67BA"/>
    <w:rsid w:val="007B6A74"/>
    <w:rsid w:val="007B7860"/>
    <w:rsid w:val="007B7D70"/>
    <w:rsid w:val="007C0646"/>
    <w:rsid w:val="007C0E85"/>
    <w:rsid w:val="007C0F00"/>
    <w:rsid w:val="007C2648"/>
    <w:rsid w:val="007C3927"/>
    <w:rsid w:val="007C4E39"/>
    <w:rsid w:val="007C4F01"/>
    <w:rsid w:val="007C7E41"/>
    <w:rsid w:val="007D1761"/>
    <w:rsid w:val="007D2381"/>
    <w:rsid w:val="007D38C9"/>
    <w:rsid w:val="007D56A3"/>
    <w:rsid w:val="007D69B0"/>
    <w:rsid w:val="007D7699"/>
    <w:rsid w:val="007E03D5"/>
    <w:rsid w:val="007E0D53"/>
    <w:rsid w:val="007E10D6"/>
    <w:rsid w:val="007E1C92"/>
    <w:rsid w:val="007E23BA"/>
    <w:rsid w:val="007E5830"/>
    <w:rsid w:val="007E5FB7"/>
    <w:rsid w:val="007F1DD1"/>
    <w:rsid w:val="007F2C61"/>
    <w:rsid w:val="007F2CA3"/>
    <w:rsid w:val="007F3D60"/>
    <w:rsid w:val="007F4A28"/>
    <w:rsid w:val="007F5281"/>
    <w:rsid w:val="007F5692"/>
    <w:rsid w:val="007F5A75"/>
    <w:rsid w:val="007F7B4D"/>
    <w:rsid w:val="007F7F73"/>
    <w:rsid w:val="008003C5"/>
    <w:rsid w:val="008006A0"/>
    <w:rsid w:val="00800844"/>
    <w:rsid w:val="00802BD2"/>
    <w:rsid w:val="00803BCA"/>
    <w:rsid w:val="0080433C"/>
    <w:rsid w:val="00804683"/>
    <w:rsid w:val="00804DA0"/>
    <w:rsid w:val="00804E4F"/>
    <w:rsid w:val="008054E3"/>
    <w:rsid w:val="00806666"/>
    <w:rsid w:val="00810484"/>
    <w:rsid w:val="0081071C"/>
    <w:rsid w:val="008138E2"/>
    <w:rsid w:val="00815267"/>
    <w:rsid w:val="008158E1"/>
    <w:rsid w:val="00817648"/>
    <w:rsid w:val="00817747"/>
    <w:rsid w:val="00820B68"/>
    <w:rsid w:val="0082121C"/>
    <w:rsid w:val="0082136C"/>
    <w:rsid w:val="00822844"/>
    <w:rsid w:val="00824219"/>
    <w:rsid w:val="008252E5"/>
    <w:rsid w:val="00827650"/>
    <w:rsid w:val="0082769A"/>
    <w:rsid w:val="008278BE"/>
    <w:rsid w:val="00830051"/>
    <w:rsid w:val="00831949"/>
    <w:rsid w:val="0083258A"/>
    <w:rsid w:val="008333B9"/>
    <w:rsid w:val="00833466"/>
    <w:rsid w:val="00833F23"/>
    <w:rsid w:val="00834435"/>
    <w:rsid w:val="0083488D"/>
    <w:rsid w:val="008350A0"/>
    <w:rsid w:val="00835D62"/>
    <w:rsid w:val="008366B7"/>
    <w:rsid w:val="008368F3"/>
    <w:rsid w:val="008372E1"/>
    <w:rsid w:val="00837F4B"/>
    <w:rsid w:val="00841184"/>
    <w:rsid w:val="008413AB"/>
    <w:rsid w:val="00841740"/>
    <w:rsid w:val="008418F0"/>
    <w:rsid w:val="00842A9E"/>
    <w:rsid w:val="008452DD"/>
    <w:rsid w:val="00845603"/>
    <w:rsid w:val="008461CE"/>
    <w:rsid w:val="008470CB"/>
    <w:rsid w:val="00847814"/>
    <w:rsid w:val="008479D5"/>
    <w:rsid w:val="00847FB1"/>
    <w:rsid w:val="008528E1"/>
    <w:rsid w:val="00853063"/>
    <w:rsid w:val="0085348A"/>
    <w:rsid w:val="00854326"/>
    <w:rsid w:val="008547FD"/>
    <w:rsid w:val="008566F7"/>
    <w:rsid w:val="00856BD1"/>
    <w:rsid w:val="00856E55"/>
    <w:rsid w:val="0086017A"/>
    <w:rsid w:val="00862CFA"/>
    <w:rsid w:val="00863153"/>
    <w:rsid w:val="00863A1D"/>
    <w:rsid w:val="00864BE3"/>
    <w:rsid w:val="00865247"/>
    <w:rsid w:val="0087368F"/>
    <w:rsid w:val="008737B4"/>
    <w:rsid w:val="00873FE2"/>
    <w:rsid w:val="00874A10"/>
    <w:rsid w:val="00875530"/>
    <w:rsid w:val="0087592F"/>
    <w:rsid w:val="00875D22"/>
    <w:rsid w:val="00875EB6"/>
    <w:rsid w:val="00875F4E"/>
    <w:rsid w:val="0087614B"/>
    <w:rsid w:val="00876360"/>
    <w:rsid w:val="00877532"/>
    <w:rsid w:val="0087757F"/>
    <w:rsid w:val="00877E54"/>
    <w:rsid w:val="00877FDD"/>
    <w:rsid w:val="0088159A"/>
    <w:rsid w:val="00882014"/>
    <w:rsid w:val="008829C2"/>
    <w:rsid w:val="0088377A"/>
    <w:rsid w:val="00883CDA"/>
    <w:rsid w:val="008841ED"/>
    <w:rsid w:val="0088463B"/>
    <w:rsid w:val="00884E1C"/>
    <w:rsid w:val="00887467"/>
    <w:rsid w:val="0088746B"/>
    <w:rsid w:val="00890321"/>
    <w:rsid w:val="00890603"/>
    <w:rsid w:val="00891654"/>
    <w:rsid w:val="008917AB"/>
    <w:rsid w:val="00892525"/>
    <w:rsid w:val="00892DFF"/>
    <w:rsid w:val="00894E0B"/>
    <w:rsid w:val="00895B73"/>
    <w:rsid w:val="00896543"/>
    <w:rsid w:val="00897328"/>
    <w:rsid w:val="008A16C1"/>
    <w:rsid w:val="008A3AE2"/>
    <w:rsid w:val="008A3C99"/>
    <w:rsid w:val="008A5817"/>
    <w:rsid w:val="008A6DEB"/>
    <w:rsid w:val="008B22EC"/>
    <w:rsid w:val="008B2906"/>
    <w:rsid w:val="008B43B7"/>
    <w:rsid w:val="008C61BC"/>
    <w:rsid w:val="008C6205"/>
    <w:rsid w:val="008C6CA7"/>
    <w:rsid w:val="008C7452"/>
    <w:rsid w:val="008C7486"/>
    <w:rsid w:val="008D10E1"/>
    <w:rsid w:val="008D1412"/>
    <w:rsid w:val="008D1A8D"/>
    <w:rsid w:val="008D1EDB"/>
    <w:rsid w:val="008D21BC"/>
    <w:rsid w:val="008D2F24"/>
    <w:rsid w:val="008D379F"/>
    <w:rsid w:val="008D3A1A"/>
    <w:rsid w:val="008D40D7"/>
    <w:rsid w:val="008D4C95"/>
    <w:rsid w:val="008D543C"/>
    <w:rsid w:val="008D5BC1"/>
    <w:rsid w:val="008D5EA9"/>
    <w:rsid w:val="008D6E8F"/>
    <w:rsid w:val="008E1F38"/>
    <w:rsid w:val="008E2FE6"/>
    <w:rsid w:val="008E3668"/>
    <w:rsid w:val="008E5348"/>
    <w:rsid w:val="008E619F"/>
    <w:rsid w:val="008E7B11"/>
    <w:rsid w:val="008F09A8"/>
    <w:rsid w:val="008F3191"/>
    <w:rsid w:val="008F4048"/>
    <w:rsid w:val="008F50D2"/>
    <w:rsid w:val="008F5257"/>
    <w:rsid w:val="008F5422"/>
    <w:rsid w:val="008F606A"/>
    <w:rsid w:val="008F757C"/>
    <w:rsid w:val="00901B09"/>
    <w:rsid w:val="00903304"/>
    <w:rsid w:val="00903C6F"/>
    <w:rsid w:val="009042BC"/>
    <w:rsid w:val="009062EA"/>
    <w:rsid w:val="00907344"/>
    <w:rsid w:val="009079C2"/>
    <w:rsid w:val="009102CB"/>
    <w:rsid w:val="00910860"/>
    <w:rsid w:val="00910AA3"/>
    <w:rsid w:val="00910FB8"/>
    <w:rsid w:val="00911122"/>
    <w:rsid w:val="00911FD5"/>
    <w:rsid w:val="00912806"/>
    <w:rsid w:val="009142FA"/>
    <w:rsid w:val="00914622"/>
    <w:rsid w:val="00915A99"/>
    <w:rsid w:val="00916092"/>
    <w:rsid w:val="00916284"/>
    <w:rsid w:val="0092100E"/>
    <w:rsid w:val="00921D4F"/>
    <w:rsid w:val="00921F12"/>
    <w:rsid w:val="00923E34"/>
    <w:rsid w:val="00924649"/>
    <w:rsid w:val="009259EA"/>
    <w:rsid w:val="0092658F"/>
    <w:rsid w:val="00931210"/>
    <w:rsid w:val="009318FB"/>
    <w:rsid w:val="0093313E"/>
    <w:rsid w:val="00934656"/>
    <w:rsid w:val="009351FC"/>
    <w:rsid w:val="00936294"/>
    <w:rsid w:val="00937229"/>
    <w:rsid w:val="0093741A"/>
    <w:rsid w:val="00937ABE"/>
    <w:rsid w:val="00942156"/>
    <w:rsid w:val="009427AC"/>
    <w:rsid w:val="00942871"/>
    <w:rsid w:val="00942DE2"/>
    <w:rsid w:val="00943EB5"/>
    <w:rsid w:val="0094427A"/>
    <w:rsid w:val="00945ECF"/>
    <w:rsid w:val="00946BB7"/>
    <w:rsid w:val="00947B59"/>
    <w:rsid w:val="009508F6"/>
    <w:rsid w:val="00952154"/>
    <w:rsid w:val="00953277"/>
    <w:rsid w:val="00953F33"/>
    <w:rsid w:val="009546EA"/>
    <w:rsid w:val="00954839"/>
    <w:rsid w:val="00955C4F"/>
    <w:rsid w:val="00955D49"/>
    <w:rsid w:val="00962371"/>
    <w:rsid w:val="00962A6B"/>
    <w:rsid w:val="00962FFF"/>
    <w:rsid w:val="009632CE"/>
    <w:rsid w:val="00963419"/>
    <w:rsid w:val="009636A1"/>
    <w:rsid w:val="00963D51"/>
    <w:rsid w:val="00965D16"/>
    <w:rsid w:val="00966272"/>
    <w:rsid w:val="00966B3E"/>
    <w:rsid w:val="00966CD7"/>
    <w:rsid w:val="00974A5B"/>
    <w:rsid w:val="00975621"/>
    <w:rsid w:val="00977BD8"/>
    <w:rsid w:val="0098050E"/>
    <w:rsid w:val="009809E0"/>
    <w:rsid w:val="00982722"/>
    <w:rsid w:val="00982CE0"/>
    <w:rsid w:val="00982F2F"/>
    <w:rsid w:val="009853AE"/>
    <w:rsid w:val="009861D6"/>
    <w:rsid w:val="0098627B"/>
    <w:rsid w:val="0098686D"/>
    <w:rsid w:val="00991222"/>
    <w:rsid w:val="00991299"/>
    <w:rsid w:val="00992E8E"/>
    <w:rsid w:val="00993463"/>
    <w:rsid w:val="00995341"/>
    <w:rsid w:val="009957F9"/>
    <w:rsid w:val="00995CC1"/>
    <w:rsid w:val="00995D5C"/>
    <w:rsid w:val="00995E1D"/>
    <w:rsid w:val="00995E49"/>
    <w:rsid w:val="00996D0D"/>
    <w:rsid w:val="009A0F6A"/>
    <w:rsid w:val="009A2F3E"/>
    <w:rsid w:val="009A2FA0"/>
    <w:rsid w:val="009A3EBE"/>
    <w:rsid w:val="009A4139"/>
    <w:rsid w:val="009A6245"/>
    <w:rsid w:val="009A6BA6"/>
    <w:rsid w:val="009A7CCF"/>
    <w:rsid w:val="009B0647"/>
    <w:rsid w:val="009B1301"/>
    <w:rsid w:val="009B1DDE"/>
    <w:rsid w:val="009B1E67"/>
    <w:rsid w:val="009B494B"/>
    <w:rsid w:val="009B4A3E"/>
    <w:rsid w:val="009B4CB5"/>
    <w:rsid w:val="009B617B"/>
    <w:rsid w:val="009B69C8"/>
    <w:rsid w:val="009B6B7E"/>
    <w:rsid w:val="009B7B5D"/>
    <w:rsid w:val="009C06E9"/>
    <w:rsid w:val="009C55EC"/>
    <w:rsid w:val="009C6A4A"/>
    <w:rsid w:val="009D1348"/>
    <w:rsid w:val="009D2218"/>
    <w:rsid w:val="009D29E3"/>
    <w:rsid w:val="009D348E"/>
    <w:rsid w:val="009D439B"/>
    <w:rsid w:val="009D6B4F"/>
    <w:rsid w:val="009D733E"/>
    <w:rsid w:val="009D7970"/>
    <w:rsid w:val="009E10FE"/>
    <w:rsid w:val="009E124A"/>
    <w:rsid w:val="009E13C7"/>
    <w:rsid w:val="009E18C5"/>
    <w:rsid w:val="009E1DD6"/>
    <w:rsid w:val="009E21B6"/>
    <w:rsid w:val="009E310B"/>
    <w:rsid w:val="009E3CBE"/>
    <w:rsid w:val="009E4769"/>
    <w:rsid w:val="009E4D88"/>
    <w:rsid w:val="009E53BB"/>
    <w:rsid w:val="009E6105"/>
    <w:rsid w:val="009F0D03"/>
    <w:rsid w:val="009F1771"/>
    <w:rsid w:val="009F3C94"/>
    <w:rsid w:val="009F4186"/>
    <w:rsid w:val="009F4343"/>
    <w:rsid w:val="009F51BE"/>
    <w:rsid w:val="009F6CEB"/>
    <w:rsid w:val="009F6D49"/>
    <w:rsid w:val="00A005F7"/>
    <w:rsid w:val="00A01815"/>
    <w:rsid w:val="00A02FB2"/>
    <w:rsid w:val="00A04208"/>
    <w:rsid w:val="00A04320"/>
    <w:rsid w:val="00A06250"/>
    <w:rsid w:val="00A07344"/>
    <w:rsid w:val="00A07B7D"/>
    <w:rsid w:val="00A1161D"/>
    <w:rsid w:val="00A11885"/>
    <w:rsid w:val="00A12A39"/>
    <w:rsid w:val="00A13738"/>
    <w:rsid w:val="00A13814"/>
    <w:rsid w:val="00A1416E"/>
    <w:rsid w:val="00A148FD"/>
    <w:rsid w:val="00A16127"/>
    <w:rsid w:val="00A162CE"/>
    <w:rsid w:val="00A165DA"/>
    <w:rsid w:val="00A17030"/>
    <w:rsid w:val="00A17B7F"/>
    <w:rsid w:val="00A2001D"/>
    <w:rsid w:val="00A209CE"/>
    <w:rsid w:val="00A21FF4"/>
    <w:rsid w:val="00A220C5"/>
    <w:rsid w:val="00A22AA1"/>
    <w:rsid w:val="00A24A88"/>
    <w:rsid w:val="00A24B13"/>
    <w:rsid w:val="00A2550B"/>
    <w:rsid w:val="00A27286"/>
    <w:rsid w:val="00A27886"/>
    <w:rsid w:val="00A27B1A"/>
    <w:rsid w:val="00A300E1"/>
    <w:rsid w:val="00A32C74"/>
    <w:rsid w:val="00A37CF7"/>
    <w:rsid w:val="00A42B13"/>
    <w:rsid w:val="00A435B0"/>
    <w:rsid w:val="00A44646"/>
    <w:rsid w:val="00A4676E"/>
    <w:rsid w:val="00A4774E"/>
    <w:rsid w:val="00A505C2"/>
    <w:rsid w:val="00A50D35"/>
    <w:rsid w:val="00A571DE"/>
    <w:rsid w:val="00A5760C"/>
    <w:rsid w:val="00A576B3"/>
    <w:rsid w:val="00A6062E"/>
    <w:rsid w:val="00A60BFB"/>
    <w:rsid w:val="00A60F4E"/>
    <w:rsid w:val="00A617FB"/>
    <w:rsid w:val="00A61F86"/>
    <w:rsid w:val="00A65C2D"/>
    <w:rsid w:val="00A662F8"/>
    <w:rsid w:val="00A67181"/>
    <w:rsid w:val="00A70E91"/>
    <w:rsid w:val="00A7295C"/>
    <w:rsid w:val="00A73068"/>
    <w:rsid w:val="00A7342E"/>
    <w:rsid w:val="00A7345F"/>
    <w:rsid w:val="00A73AD5"/>
    <w:rsid w:val="00A73BFE"/>
    <w:rsid w:val="00A73D21"/>
    <w:rsid w:val="00A740AA"/>
    <w:rsid w:val="00A75560"/>
    <w:rsid w:val="00A75D4D"/>
    <w:rsid w:val="00A76D26"/>
    <w:rsid w:val="00A7727B"/>
    <w:rsid w:val="00A779A6"/>
    <w:rsid w:val="00A8125F"/>
    <w:rsid w:val="00A81CE6"/>
    <w:rsid w:val="00A84C5E"/>
    <w:rsid w:val="00A84ED1"/>
    <w:rsid w:val="00A859FD"/>
    <w:rsid w:val="00A86395"/>
    <w:rsid w:val="00A86B5B"/>
    <w:rsid w:val="00A91095"/>
    <w:rsid w:val="00A91B25"/>
    <w:rsid w:val="00A96088"/>
    <w:rsid w:val="00A9667A"/>
    <w:rsid w:val="00A97BAC"/>
    <w:rsid w:val="00A97CCD"/>
    <w:rsid w:val="00AA1CF6"/>
    <w:rsid w:val="00AA1DD7"/>
    <w:rsid w:val="00AA1FC1"/>
    <w:rsid w:val="00AA3352"/>
    <w:rsid w:val="00AA5092"/>
    <w:rsid w:val="00AA5389"/>
    <w:rsid w:val="00AA55BF"/>
    <w:rsid w:val="00AA569F"/>
    <w:rsid w:val="00AA6098"/>
    <w:rsid w:val="00AA6AB1"/>
    <w:rsid w:val="00AA73B3"/>
    <w:rsid w:val="00AA73DD"/>
    <w:rsid w:val="00AA78D2"/>
    <w:rsid w:val="00AA79FF"/>
    <w:rsid w:val="00AB0421"/>
    <w:rsid w:val="00AB12E7"/>
    <w:rsid w:val="00AB1798"/>
    <w:rsid w:val="00AB204C"/>
    <w:rsid w:val="00AB4D00"/>
    <w:rsid w:val="00AC03A2"/>
    <w:rsid w:val="00AC0431"/>
    <w:rsid w:val="00AC1942"/>
    <w:rsid w:val="00AC2402"/>
    <w:rsid w:val="00AC2985"/>
    <w:rsid w:val="00AC32C8"/>
    <w:rsid w:val="00AC3AAE"/>
    <w:rsid w:val="00AC4316"/>
    <w:rsid w:val="00AC4603"/>
    <w:rsid w:val="00AC4939"/>
    <w:rsid w:val="00AC7904"/>
    <w:rsid w:val="00AD2F03"/>
    <w:rsid w:val="00AD3965"/>
    <w:rsid w:val="00AD3D7A"/>
    <w:rsid w:val="00AD556E"/>
    <w:rsid w:val="00AD5CF9"/>
    <w:rsid w:val="00AE1312"/>
    <w:rsid w:val="00AE3239"/>
    <w:rsid w:val="00AE3A37"/>
    <w:rsid w:val="00AE3CE8"/>
    <w:rsid w:val="00AE5577"/>
    <w:rsid w:val="00AE6084"/>
    <w:rsid w:val="00AE744C"/>
    <w:rsid w:val="00AF2AF5"/>
    <w:rsid w:val="00AF2B40"/>
    <w:rsid w:val="00AF621A"/>
    <w:rsid w:val="00AF69B1"/>
    <w:rsid w:val="00AF73E8"/>
    <w:rsid w:val="00AF7853"/>
    <w:rsid w:val="00B03AA2"/>
    <w:rsid w:val="00B1089A"/>
    <w:rsid w:val="00B1568D"/>
    <w:rsid w:val="00B165E1"/>
    <w:rsid w:val="00B177D4"/>
    <w:rsid w:val="00B17F9C"/>
    <w:rsid w:val="00B20EEE"/>
    <w:rsid w:val="00B2188C"/>
    <w:rsid w:val="00B2305C"/>
    <w:rsid w:val="00B244C7"/>
    <w:rsid w:val="00B2499B"/>
    <w:rsid w:val="00B25BD1"/>
    <w:rsid w:val="00B26489"/>
    <w:rsid w:val="00B27AC6"/>
    <w:rsid w:val="00B30377"/>
    <w:rsid w:val="00B311BF"/>
    <w:rsid w:val="00B31242"/>
    <w:rsid w:val="00B3138E"/>
    <w:rsid w:val="00B32327"/>
    <w:rsid w:val="00B333BC"/>
    <w:rsid w:val="00B333C0"/>
    <w:rsid w:val="00B342CC"/>
    <w:rsid w:val="00B34603"/>
    <w:rsid w:val="00B34CF1"/>
    <w:rsid w:val="00B3586E"/>
    <w:rsid w:val="00B35A8F"/>
    <w:rsid w:val="00B3763F"/>
    <w:rsid w:val="00B37B3D"/>
    <w:rsid w:val="00B37DC5"/>
    <w:rsid w:val="00B40D97"/>
    <w:rsid w:val="00B442A1"/>
    <w:rsid w:val="00B450CA"/>
    <w:rsid w:val="00B45186"/>
    <w:rsid w:val="00B516AE"/>
    <w:rsid w:val="00B52974"/>
    <w:rsid w:val="00B53149"/>
    <w:rsid w:val="00B552C9"/>
    <w:rsid w:val="00B56706"/>
    <w:rsid w:val="00B56728"/>
    <w:rsid w:val="00B56E34"/>
    <w:rsid w:val="00B576CC"/>
    <w:rsid w:val="00B601DD"/>
    <w:rsid w:val="00B62AE4"/>
    <w:rsid w:val="00B635E5"/>
    <w:rsid w:val="00B640D2"/>
    <w:rsid w:val="00B6420C"/>
    <w:rsid w:val="00B64FBD"/>
    <w:rsid w:val="00B65506"/>
    <w:rsid w:val="00B6762E"/>
    <w:rsid w:val="00B6787C"/>
    <w:rsid w:val="00B70B89"/>
    <w:rsid w:val="00B712AE"/>
    <w:rsid w:val="00B732DE"/>
    <w:rsid w:val="00B74147"/>
    <w:rsid w:val="00B74771"/>
    <w:rsid w:val="00B7482B"/>
    <w:rsid w:val="00B757EF"/>
    <w:rsid w:val="00B75B93"/>
    <w:rsid w:val="00B75F2E"/>
    <w:rsid w:val="00B768CD"/>
    <w:rsid w:val="00B76900"/>
    <w:rsid w:val="00B8049C"/>
    <w:rsid w:val="00B80F9F"/>
    <w:rsid w:val="00B83037"/>
    <w:rsid w:val="00B84A2C"/>
    <w:rsid w:val="00B87935"/>
    <w:rsid w:val="00B90B0F"/>
    <w:rsid w:val="00B9111D"/>
    <w:rsid w:val="00B924BD"/>
    <w:rsid w:val="00B92D9A"/>
    <w:rsid w:val="00B93FB6"/>
    <w:rsid w:val="00B95337"/>
    <w:rsid w:val="00B962BD"/>
    <w:rsid w:val="00B97887"/>
    <w:rsid w:val="00B97FEF"/>
    <w:rsid w:val="00BA0CA5"/>
    <w:rsid w:val="00BA146E"/>
    <w:rsid w:val="00BA1C3D"/>
    <w:rsid w:val="00BA27D5"/>
    <w:rsid w:val="00BA2D39"/>
    <w:rsid w:val="00BA2EB8"/>
    <w:rsid w:val="00BA35A4"/>
    <w:rsid w:val="00BA565B"/>
    <w:rsid w:val="00BA6B70"/>
    <w:rsid w:val="00BA6BFA"/>
    <w:rsid w:val="00BA7798"/>
    <w:rsid w:val="00BA7A95"/>
    <w:rsid w:val="00BA7E99"/>
    <w:rsid w:val="00BB0C9C"/>
    <w:rsid w:val="00BB0EBE"/>
    <w:rsid w:val="00BB127A"/>
    <w:rsid w:val="00BB38CD"/>
    <w:rsid w:val="00BB50FA"/>
    <w:rsid w:val="00BB55DF"/>
    <w:rsid w:val="00BB5B69"/>
    <w:rsid w:val="00BB64B9"/>
    <w:rsid w:val="00BB7BBC"/>
    <w:rsid w:val="00BB7BF9"/>
    <w:rsid w:val="00BC0F04"/>
    <w:rsid w:val="00BC2E32"/>
    <w:rsid w:val="00BC3B5D"/>
    <w:rsid w:val="00BC4561"/>
    <w:rsid w:val="00BC6DFD"/>
    <w:rsid w:val="00BC71E6"/>
    <w:rsid w:val="00BC7544"/>
    <w:rsid w:val="00BD0A63"/>
    <w:rsid w:val="00BD0DB7"/>
    <w:rsid w:val="00BD0EEE"/>
    <w:rsid w:val="00BD2D44"/>
    <w:rsid w:val="00BD4C0E"/>
    <w:rsid w:val="00BD6706"/>
    <w:rsid w:val="00BD685B"/>
    <w:rsid w:val="00BD71DF"/>
    <w:rsid w:val="00BD76FC"/>
    <w:rsid w:val="00BE03FA"/>
    <w:rsid w:val="00BE1280"/>
    <w:rsid w:val="00BE3B2D"/>
    <w:rsid w:val="00BE51CA"/>
    <w:rsid w:val="00BE7182"/>
    <w:rsid w:val="00BE7CDF"/>
    <w:rsid w:val="00BF148F"/>
    <w:rsid w:val="00BF156D"/>
    <w:rsid w:val="00BF1A75"/>
    <w:rsid w:val="00BF23B9"/>
    <w:rsid w:val="00BF334E"/>
    <w:rsid w:val="00BF4445"/>
    <w:rsid w:val="00BF67C5"/>
    <w:rsid w:val="00C00FF2"/>
    <w:rsid w:val="00C045AD"/>
    <w:rsid w:val="00C046C5"/>
    <w:rsid w:val="00C04CBF"/>
    <w:rsid w:val="00C04E82"/>
    <w:rsid w:val="00C05FE2"/>
    <w:rsid w:val="00C07F2A"/>
    <w:rsid w:val="00C1027A"/>
    <w:rsid w:val="00C109AE"/>
    <w:rsid w:val="00C11392"/>
    <w:rsid w:val="00C1232F"/>
    <w:rsid w:val="00C1289A"/>
    <w:rsid w:val="00C12DB6"/>
    <w:rsid w:val="00C138E0"/>
    <w:rsid w:val="00C14F94"/>
    <w:rsid w:val="00C15622"/>
    <w:rsid w:val="00C1568F"/>
    <w:rsid w:val="00C15BCF"/>
    <w:rsid w:val="00C15F49"/>
    <w:rsid w:val="00C16AF3"/>
    <w:rsid w:val="00C17012"/>
    <w:rsid w:val="00C17F74"/>
    <w:rsid w:val="00C20A20"/>
    <w:rsid w:val="00C218AD"/>
    <w:rsid w:val="00C22752"/>
    <w:rsid w:val="00C242AE"/>
    <w:rsid w:val="00C256BA"/>
    <w:rsid w:val="00C263FC"/>
    <w:rsid w:val="00C269D3"/>
    <w:rsid w:val="00C27884"/>
    <w:rsid w:val="00C27C25"/>
    <w:rsid w:val="00C32406"/>
    <w:rsid w:val="00C371AE"/>
    <w:rsid w:val="00C371BC"/>
    <w:rsid w:val="00C37D9D"/>
    <w:rsid w:val="00C40F1D"/>
    <w:rsid w:val="00C440FF"/>
    <w:rsid w:val="00C46E1A"/>
    <w:rsid w:val="00C471DC"/>
    <w:rsid w:val="00C51485"/>
    <w:rsid w:val="00C51556"/>
    <w:rsid w:val="00C52B21"/>
    <w:rsid w:val="00C542C2"/>
    <w:rsid w:val="00C55329"/>
    <w:rsid w:val="00C55C93"/>
    <w:rsid w:val="00C5684E"/>
    <w:rsid w:val="00C575FA"/>
    <w:rsid w:val="00C60614"/>
    <w:rsid w:val="00C60C04"/>
    <w:rsid w:val="00C62927"/>
    <w:rsid w:val="00C648DC"/>
    <w:rsid w:val="00C6559E"/>
    <w:rsid w:val="00C65AC8"/>
    <w:rsid w:val="00C66090"/>
    <w:rsid w:val="00C66478"/>
    <w:rsid w:val="00C74037"/>
    <w:rsid w:val="00C77047"/>
    <w:rsid w:val="00C818FB"/>
    <w:rsid w:val="00C819B0"/>
    <w:rsid w:val="00C82D06"/>
    <w:rsid w:val="00C8301C"/>
    <w:rsid w:val="00C841A8"/>
    <w:rsid w:val="00C84562"/>
    <w:rsid w:val="00C85877"/>
    <w:rsid w:val="00C860F5"/>
    <w:rsid w:val="00C8692F"/>
    <w:rsid w:val="00C903F8"/>
    <w:rsid w:val="00C9078D"/>
    <w:rsid w:val="00C90DB6"/>
    <w:rsid w:val="00C90DDD"/>
    <w:rsid w:val="00C910CA"/>
    <w:rsid w:val="00C9169C"/>
    <w:rsid w:val="00C92D10"/>
    <w:rsid w:val="00C9311A"/>
    <w:rsid w:val="00C93D97"/>
    <w:rsid w:val="00C93F27"/>
    <w:rsid w:val="00C95B34"/>
    <w:rsid w:val="00C969B1"/>
    <w:rsid w:val="00C96A2F"/>
    <w:rsid w:val="00C973F1"/>
    <w:rsid w:val="00C978C9"/>
    <w:rsid w:val="00CA0E18"/>
    <w:rsid w:val="00CA2B0D"/>
    <w:rsid w:val="00CA3D67"/>
    <w:rsid w:val="00CA42FF"/>
    <w:rsid w:val="00CA4A60"/>
    <w:rsid w:val="00CA6BBC"/>
    <w:rsid w:val="00CA6F7D"/>
    <w:rsid w:val="00CA705F"/>
    <w:rsid w:val="00CA7206"/>
    <w:rsid w:val="00CA7BF9"/>
    <w:rsid w:val="00CB04F4"/>
    <w:rsid w:val="00CB1E82"/>
    <w:rsid w:val="00CB21AF"/>
    <w:rsid w:val="00CB253E"/>
    <w:rsid w:val="00CB30E5"/>
    <w:rsid w:val="00CB5660"/>
    <w:rsid w:val="00CB5A38"/>
    <w:rsid w:val="00CB5DC8"/>
    <w:rsid w:val="00CB6289"/>
    <w:rsid w:val="00CB794F"/>
    <w:rsid w:val="00CC17E2"/>
    <w:rsid w:val="00CC2934"/>
    <w:rsid w:val="00CC6752"/>
    <w:rsid w:val="00CC6E05"/>
    <w:rsid w:val="00CC7094"/>
    <w:rsid w:val="00CD0372"/>
    <w:rsid w:val="00CD056D"/>
    <w:rsid w:val="00CD09D7"/>
    <w:rsid w:val="00CD0EF5"/>
    <w:rsid w:val="00CD3746"/>
    <w:rsid w:val="00CD3AEC"/>
    <w:rsid w:val="00CD45A6"/>
    <w:rsid w:val="00CD4C3C"/>
    <w:rsid w:val="00CD5624"/>
    <w:rsid w:val="00CD6884"/>
    <w:rsid w:val="00CD6ACB"/>
    <w:rsid w:val="00CE0BDF"/>
    <w:rsid w:val="00CE1146"/>
    <w:rsid w:val="00CE342C"/>
    <w:rsid w:val="00CE3E4E"/>
    <w:rsid w:val="00CE416F"/>
    <w:rsid w:val="00CE4203"/>
    <w:rsid w:val="00CE4996"/>
    <w:rsid w:val="00CE7C37"/>
    <w:rsid w:val="00CF1D73"/>
    <w:rsid w:val="00CF1DE0"/>
    <w:rsid w:val="00CF39BC"/>
    <w:rsid w:val="00CF51DE"/>
    <w:rsid w:val="00CF606B"/>
    <w:rsid w:val="00D004DB"/>
    <w:rsid w:val="00D0084E"/>
    <w:rsid w:val="00D0193C"/>
    <w:rsid w:val="00D0311C"/>
    <w:rsid w:val="00D033C1"/>
    <w:rsid w:val="00D03A35"/>
    <w:rsid w:val="00D04592"/>
    <w:rsid w:val="00D04FE8"/>
    <w:rsid w:val="00D052C6"/>
    <w:rsid w:val="00D059C4"/>
    <w:rsid w:val="00D05FBE"/>
    <w:rsid w:val="00D06697"/>
    <w:rsid w:val="00D07760"/>
    <w:rsid w:val="00D07A79"/>
    <w:rsid w:val="00D1041E"/>
    <w:rsid w:val="00D11527"/>
    <w:rsid w:val="00D11DD6"/>
    <w:rsid w:val="00D12C96"/>
    <w:rsid w:val="00D145C4"/>
    <w:rsid w:val="00D14C56"/>
    <w:rsid w:val="00D160D3"/>
    <w:rsid w:val="00D16F9F"/>
    <w:rsid w:val="00D17E0A"/>
    <w:rsid w:val="00D20615"/>
    <w:rsid w:val="00D208A0"/>
    <w:rsid w:val="00D2167B"/>
    <w:rsid w:val="00D224BC"/>
    <w:rsid w:val="00D233A4"/>
    <w:rsid w:val="00D2485F"/>
    <w:rsid w:val="00D2505D"/>
    <w:rsid w:val="00D263B8"/>
    <w:rsid w:val="00D2645F"/>
    <w:rsid w:val="00D2657A"/>
    <w:rsid w:val="00D27298"/>
    <w:rsid w:val="00D27C97"/>
    <w:rsid w:val="00D30B3A"/>
    <w:rsid w:val="00D31172"/>
    <w:rsid w:val="00D3125D"/>
    <w:rsid w:val="00D324CA"/>
    <w:rsid w:val="00D32CD6"/>
    <w:rsid w:val="00D34117"/>
    <w:rsid w:val="00D34DE6"/>
    <w:rsid w:val="00D3512A"/>
    <w:rsid w:val="00D355D2"/>
    <w:rsid w:val="00D37DB6"/>
    <w:rsid w:val="00D40CF6"/>
    <w:rsid w:val="00D40E58"/>
    <w:rsid w:val="00D426B6"/>
    <w:rsid w:val="00D43B17"/>
    <w:rsid w:val="00D4693C"/>
    <w:rsid w:val="00D47779"/>
    <w:rsid w:val="00D47C4E"/>
    <w:rsid w:val="00D51C79"/>
    <w:rsid w:val="00D52AC6"/>
    <w:rsid w:val="00D53F6E"/>
    <w:rsid w:val="00D554E4"/>
    <w:rsid w:val="00D5597F"/>
    <w:rsid w:val="00D55D73"/>
    <w:rsid w:val="00D5688D"/>
    <w:rsid w:val="00D56CAC"/>
    <w:rsid w:val="00D56EA2"/>
    <w:rsid w:val="00D579BA"/>
    <w:rsid w:val="00D57E35"/>
    <w:rsid w:val="00D60178"/>
    <w:rsid w:val="00D62398"/>
    <w:rsid w:val="00D6271D"/>
    <w:rsid w:val="00D644D9"/>
    <w:rsid w:val="00D663C5"/>
    <w:rsid w:val="00D673B1"/>
    <w:rsid w:val="00D70ED5"/>
    <w:rsid w:val="00D72407"/>
    <w:rsid w:val="00D73263"/>
    <w:rsid w:val="00D74124"/>
    <w:rsid w:val="00D75965"/>
    <w:rsid w:val="00D75BEA"/>
    <w:rsid w:val="00D76692"/>
    <w:rsid w:val="00D76F6B"/>
    <w:rsid w:val="00D80CBC"/>
    <w:rsid w:val="00D81361"/>
    <w:rsid w:val="00D81A23"/>
    <w:rsid w:val="00D82868"/>
    <w:rsid w:val="00D841E4"/>
    <w:rsid w:val="00D84B91"/>
    <w:rsid w:val="00D85658"/>
    <w:rsid w:val="00D85785"/>
    <w:rsid w:val="00D8699B"/>
    <w:rsid w:val="00D86F8C"/>
    <w:rsid w:val="00D87146"/>
    <w:rsid w:val="00D8780B"/>
    <w:rsid w:val="00D87A3E"/>
    <w:rsid w:val="00D91715"/>
    <w:rsid w:val="00D93A3A"/>
    <w:rsid w:val="00D946AA"/>
    <w:rsid w:val="00D963DA"/>
    <w:rsid w:val="00D96869"/>
    <w:rsid w:val="00D97A90"/>
    <w:rsid w:val="00D97EA2"/>
    <w:rsid w:val="00D97FAB"/>
    <w:rsid w:val="00DA2BED"/>
    <w:rsid w:val="00DA3829"/>
    <w:rsid w:val="00DA45C8"/>
    <w:rsid w:val="00DA6913"/>
    <w:rsid w:val="00DB11F1"/>
    <w:rsid w:val="00DB1EBB"/>
    <w:rsid w:val="00DB39B7"/>
    <w:rsid w:val="00DB517C"/>
    <w:rsid w:val="00DC0558"/>
    <w:rsid w:val="00DC0ADB"/>
    <w:rsid w:val="00DC0AFF"/>
    <w:rsid w:val="00DC19C5"/>
    <w:rsid w:val="00DC61A5"/>
    <w:rsid w:val="00DD0923"/>
    <w:rsid w:val="00DD1E67"/>
    <w:rsid w:val="00DD2A7C"/>
    <w:rsid w:val="00DD32BD"/>
    <w:rsid w:val="00DD3374"/>
    <w:rsid w:val="00DD439A"/>
    <w:rsid w:val="00DD4DFC"/>
    <w:rsid w:val="00DD6166"/>
    <w:rsid w:val="00DD6517"/>
    <w:rsid w:val="00DD66FE"/>
    <w:rsid w:val="00DD7060"/>
    <w:rsid w:val="00DD72CA"/>
    <w:rsid w:val="00DE0A0A"/>
    <w:rsid w:val="00DE0BB5"/>
    <w:rsid w:val="00DE0D0E"/>
    <w:rsid w:val="00DE17DF"/>
    <w:rsid w:val="00DE3806"/>
    <w:rsid w:val="00DE3B24"/>
    <w:rsid w:val="00DE3E8E"/>
    <w:rsid w:val="00DE4519"/>
    <w:rsid w:val="00DE6CAF"/>
    <w:rsid w:val="00DF2AFB"/>
    <w:rsid w:val="00DF2FBE"/>
    <w:rsid w:val="00DF34EE"/>
    <w:rsid w:val="00DF53FA"/>
    <w:rsid w:val="00DF5E7B"/>
    <w:rsid w:val="00DF706D"/>
    <w:rsid w:val="00DF793D"/>
    <w:rsid w:val="00E00699"/>
    <w:rsid w:val="00E00776"/>
    <w:rsid w:val="00E00C9B"/>
    <w:rsid w:val="00E01E59"/>
    <w:rsid w:val="00E021F1"/>
    <w:rsid w:val="00E026CD"/>
    <w:rsid w:val="00E03E3C"/>
    <w:rsid w:val="00E043B4"/>
    <w:rsid w:val="00E04B97"/>
    <w:rsid w:val="00E058AB"/>
    <w:rsid w:val="00E05C48"/>
    <w:rsid w:val="00E06039"/>
    <w:rsid w:val="00E06552"/>
    <w:rsid w:val="00E12235"/>
    <w:rsid w:val="00E12F0C"/>
    <w:rsid w:val="00E13401"/>
    <w:rsid w:val="00E13A4B"/>
    <w:rsid w:val="00E14200"/>
    <w:rsid w:val="00E14A09"/>
    <w:rsid w:val="00E167E4"/>
    <w:rsid w:val="00E16819"/>
    <w:rsid w:val="00E16A5C"/>
    <w:rsid w:val="00E178CA"/>
    <w:rsid w:val="00E21035"/>
    <w:rsid w:val="00E2181F"/>
    <w:rsid w:val="00E21F07"/>
    <w:rsid w:val="00E2598A"/>
    <w:rsid w:val="00E27BD3"/>
    <w:rsid w:val="00E27EBB"/>
    <w:rsid w:val="00E309B9"/>
    <w:rsid w:val="00E30CEA"/>
    <w:rsid w:val="00E31262"/>
    <w:rsid w:val="00E35C7C"/>
    <w:rsid w:val="00E35EFA"/>
    <w:rsid w:val="00E36ED5"/>
    <w:rsid w:val="00E37415"/>
    <w:rsid w:val="00E4199D"/>
    <w:rsid w:val="00E41CBA"/>
    <w:rsid w:val="00E41D49"/>
    <w:rsid w:val="00E427DD"/>
    <w:rsid w:val="00E42FDB"/>
    <w:rsid w:val="00E43203"/>
    <w:rsid w:val="00E43456"/>
    <w:rsid w:val="00E462AE"/>
    <w:rsid w:val="00E46BEC"/>
    <w:rsid w:val="00E477F7"/>
    <w:rsid w:val="00E50935"/>
    <w:rsid w:val="00E50EB1"/>
    <w:rsid w:val="00E526E5"/>
    <w:rsid w:val="00E52AE3"/>
    <w:rsid w:val="00E53B11"/>
    <w:rsid w:val="00E53C5C"/>
    <w:rsid w:val="00E53FCC"/>
    <w:rsid w:val="00E5481F"/>
    <w:rsid w:val="00E54F89"/>
    <w:rsid w:val="00E5664B"/>
    <w:rsid w:val="00E571D0"/>
    <w:rsid w:val="00E5793C"/>
    <w:rsid w:val="00E57AEC"/>
    <w:rsid w:val="00E602A5"/>
    <w:rsid w:val="00E6191B"/>
    <w:rsid w:val="00E63307"/>
    <w:rsid w:val="00E64840"/>
    <w:rsid w:val="00E65C06"/>
    <w:rsid w:val="00E7285E"/>
    <w:rsid w:val="00E75B41"/>
    <w:rsid w:val="00E760B9"/>
    <w:rsid w:val="00E77B22"/>
    <w:rsid w:val="00E80452"/>
    <w:rsid w:val="00E81109"/>
    <w:rsid w:val="00E82AEA"/>
    <w:rsid w:val="00E830C3"/>
    <w:rsid w:val="00E832CC"/>
    <w:rsid w:val="00E855DF"/>
    <w:rsid w:val="00E8730E"/>
    <w:rsid w:val="00E873DA"/>
    <w:rsid w:val="00E907B6"/>
    <w:rsid w:val="00E90EDC"/>
    <w:rsid w:val="00E916AC"/>
    <w:rsid w:val="00E924E0"/>
    <w:rsid w:val="00E9389D"/>
    <w:rsid w:val="00E9630E"/>
    <w:rsid w:val="00E975FE"/>
    <w:rsid w:val="00EA1B2F"/>
    <w:rsid w:val="00EA328D"/>
    <w:rsid w:val="00EA512E"/>
    <w:rsid w:val="00EA5C46"/>
    <w:rsid w:val="00EA6386"/>
    <w:rsid w:val="00EB0827"/>
    <w:rsid w:val="00EB12E9"/>
    <w:rsid w:val="00EB1966"/>
    <w:rsid w:val="00EB1E85"/>
    <w:rsid w:val="00EB2D68"/>
    <w:rsid w:val="00EB6182"/>
    <w:rsid w:val="00EB67E0"/>
    <w:rsid w:val="00EB6D2F"/>
    <w:rsid w:val="00EB7BD3"/>
    <w:rsid w:val="00EC000D"/>
    <w:rsid w:val="00EC08DE"/>
    <w:rsid w:val="00EC095B"/>
    <w:rsid w:val="00EC1154"/>
    <w:rsid w:val="00EC120F"/>
    <w:rsid w:val="00EC40B3"/>
    <w:rsid w:val="00EC500A"/>
    <w:rsid w:val="00EC678B"/>
    <w:rsid w:val="00EC7183"/>
    <w:rsid w:val="00EC7F3A"/>
    <w:rsid w:val="00ED0175"/>
    <w:rsid w:val="00ED1CB7"/>
    <w:rsid w:val="00ED2816"/>
    <w:rsid w:val="00ED31EC"/>
    <w:rsid w:val="00ED5715"/>
    <w:rsid w:val="00ED64A9"/>
    <w:rsid w:val="00EE06A7"/>
    <w:rsid w:val="00EE188B"/>
    <w:rsid w:val="00EE41EE"/>
    <w:rsid w:val="00EE43DE"/>
    <w:rsid w:val="00EE7A89"/>
    <w:rsid w:val="00EE7DF3"/>
    <w:rsid w:val="00EE7E3D"/>
    <w:rsid w:val="00EF064C"/>
    <w:rsid w:val="00EF17E8"/>
    <w:rsid w:val="00EF5C21"/>
    <w:rsid w:val="00EF5FA1"/>
    <w:rsid w:val="00EF5FF5"/>
    <w:rsid w:val="00EF72B0"/>
    <w:rsid w:val="00EF7591"/>
    <w:rsid w:val="00EF7A7F"/>
    <w:rsid w:val="00F01713"/>
    <w:rsid w:val="00F028B3"/>
    <w:rsid w:val="00F0294E"/>
    <w:rsid w:val="00F04F8D"/>
    <w:rsid w:val="00F063FC"/>
    <w:rsid w:val="00F06C9B"/>
    <w:rsid w:val="00F07F38"/>
    <w:rsid w:val="00F11072"/>
    <w:rsid w:val="00F12870"/>
    <w:rsid w:val="00F128D0"/>
    <w:rsid w:val="00F149C8"/>
    <w:rsid w:val="00F15BDE"/>
    <w:rsid w:val="00F15C90"/>
    <w:rsid w:val="00F165C0"/>
    <w:rsid w:val="00F20086"/>
    <w:rsid w:val="00F20268"/>
    <w:rsid w:val="00F214DB"/>
    <w:rsid w:val="00F224B0"/>
    <w:rsid w:val="00F22E59"/>
    <w:rsid w:val="00F23018"/>
    <w:rsid w:val="00F300A3"/>
    <w:rsid w:val="00F32481"/>
    <w:rsid w:val="00F32FAE"/>
    <w:rsid w:val="00F34322"/>
    <w:rsid w:val="00F3462E"/>
    <w:rsid w:val="00F35535"/>
    <w:rsid w:val="00F36618"/>
    <w:rsid w:val="00F36D70"/>
    <w:rsid w:val="00F4226F"/>
    <w:rsid w:val="00F43CA0"/>
    <w:rsid w:val="00F43DCF"/>
    <w:rsid w:val="00F44502"/>
    <w:rsid w:val="00F446C3"/>
    <w:rsid w:val="00F44FA8"/>
    <w:rsid w:val="00F4543B"/>
    <w:rsid w:val="00F47818"/>
    <w:rsid w:val="00F51844"/>
    <w:rsid w:val="00F52F9E"/>
    <w:rsid w:val="00F5402E"/>
    <w:rsid w:val="00F55FB4"/>
    <w:rsid w:val="00F569D5"/>
    <w:rsid w:val="00F57387"/>
    <w:rsid w:val="00F578BA"/>
    <w:rsid w:val="00F6055B"/>
    <w:rsid w:val="00F616FE"/>
    <w:rsid w:val="00F64199"/>
    <w:rsid w:val="00F66CBE"/>
    <w:rsid w:val="00F67590"/>
    <w:rsid w:val="00F676B1"/>
    <w:rsid w:val="00F70338"/>
    <w:rsid w:val="00F70F29"/>
    <w:rsid w:val="00F70FFF"/>
    <w:rsid w:val="00F740EA"/>
    <w:rsid w:val="00F75845"/>
    <w:rsid w:val="00F7740E"/>
    <w:rsid w:val="00F80282"/>
    <w:rsid w:val="00F82084"/>
    <w:rsid w:val="00F84D33"/>
    <w:rsid w:val="00F86A67"/>
    <w:rsid w:val="00F8731D"/>
    <w:rsid w:val="00F8733E"/>
    <w:rsid w:val="00F9049F"/>
    <w:rsid w:val="00F9100F"/>
    <w:rsid w:val="00F91517"/>
    <w:rsid w:val="00F92C1E"/>
    <w:rsid w:val="00F933A1"/>
    <w:rsid w:val="00F93AFE"/>
    <w:rsid w:val="00F94A27"/>
    <w:rsid w:val="00F95EA6"/>
    <w:rsid w:val="00F96FC9"/>
    <w:rsid w:val="00FA0D7C"/>
    <w:rsid w:val="00FA4651"/>
    <w:rsid w:val="00FA4EFD"/>
    <w:rsid w:val="00FA52D9"/>
    <w:rsid w:val="00FA5AC6"/>
    <w:rsid w:val="00FA6798"/>
    <w:rsid w:val="00FA73A4"/>
    <w:rsid w:val="00FB06C8"/>
    <w:rsid w:val="00FB0C99"/>
    <w:rsid w:val="00FB1204"/>
    <w:rsid w:val="00FB449C"/>
    <w:rsid w:val="00FB5153"/>
    <w:rsid w:val="00FB563D"/>
    <w:rsid w:val="00FB5DE7"/>
    <w:rsid w:val="00FB7BF9"/>
    <w:rsid w:val="00FC036B"/>
    <w:rsid w:val="00FC1E79"/>
    <w:rsid w:val="00FC1EDE"/>
    <w:rsid w:val="00FC432D"/>
    <w:rsid w:val="00FC46AF"/>
    <w:rsid w:val="00FC57FA"/>
    <w:rsid w:val="00FD0997"/>
    <w:rsid w:val="00FD142C"/>
    <w:rsid w:val="00FD2803"/>
    <w:rsid w:val="00FD2B07"/>
    <w:rsid w:val="00FD32E5"/>
    <w:rsid w:val="00FD3718"/>
    <w:rsid w:val="00FD3A37"/>
    <w:rsid w:val="00FD3D45"/>
    <w:rsid w:val="00FD459B"/>
    <w:rsid w:val="00FD5D56"/>
    <w:rsid w:val="00FD6205"/>
    <w:rsid w:val="00FD6BA4"/>
    <w:rsid w:val="00FE0970"/>
    <w:rsid w:val="00FE2F38"/>
    <w:rsid w:val="00FE48E7"/>
    <w:rsid w:val="00FE4FE8"/>
    <w:rsid w:val="00FE5857"/>
    <w:rsid w:val="00FE5F4F"/>
    <w:rsid w:val="00FE64AA"/>
    <w:rsid w:val="00FE6BE0"/>
    <w:rsid w:val="00FF03F8"/>
    <w:rsid w:val="00FF0551"/>
    <w:rsid w:val="00FF0756"/>
    <w:rsid w:val="00FF0BB3"/>
    <w:rsid w:val="00FF2C39"/>
    <w:rsid w:val="00FF458A"/>
    <w:rsid w:val="00FF4BEF"/>
    <w:rsid w:val="00FF4CC6"/>
    <w:rsid w:val="00FF5461"/>
    <w:rsid w:val="00FF56C8"/>
    <w:rsid w:val="010569BB"/>
    <w:rsid w:val="01746C6F"/>
    <w:rsid w:val="018E39E7"/>
    <w:rsid w:val="01902D1C"/>
    <w:rsid w:val="01A142BB"/>
    <w:rsid w:val="01B8645F"/>
    <w:rsid w:val="01C5292A"/>
    <w:rsid w:val="02013399"/>
    <w:rsid w:val="023909BD"/>
    <w:rsid w:val="02445665"/>
    <w:rsid w:val="02511F45"/>
    <w:rsid w:val="02566477"/>
    <w:rsid w:val="02642C7D"/>
    <w:rsid w:val="026B1786"/>
    <w:rsid w:val="028B4239"/>
    <w:rsid w:val="02994853"/>
    <w:rsid w:val="02A9126A"/>
    <w:rsid w:val="02B22634"/>
    <w:rsid w:val="03031491"/>
    <w:rsid w:val="036F3C68"/>
    <w:rsid w:val="042E0C00"/>
    <w:rsid w:val="045F408F"/>
    <w:rsid w:val="04700BD6"/>
    <w:rsid w:val="04993F99"/>
    <w:rsid w:val="04AC5C26"/>
    <w:rsid w:val="04B72419"/>
    <w:rsid w:val="04BC3254"/>
    <w:rsid w:val="04DF0CDB"/>
    <w:rsid w:val="04E377A0"/>
    <w:rsid w:val="04E90B5B"/>
    <w:rsid w:val="050A0DD5"/>
    <w:rsid w:val="051C33A8"/>
    <w:rsid w:val="05284B01"/>
    <w:rsid w:val="056621AB"/>
    <w:rsid w:val="058022C4"/>
    <w:rsid w:val="058D3151"/>
    <w:rsid w:val="05965135"/>
    <w:rsid w:val="059E67E6"/>
    <w:rsid w:val="05CC3361"/>
    <w:rsid w:val="05F851DA"/>
    <w:rsid w:val="05FA25C8"/>
    <w:rsid w:val="0612484F"/>
    <w:rsid w:val="06390D5D"/>
    <w:rsid w:val="065110EC"/>
    <w:rsid w:val="06840641"/>
    <w:rsid w:val="06C510AB"/>
    <w:rsid w:val="06E24B18"/>
    <w:rsid w:val="07076C90"/>
    <w:rsid w:val="073D1FEE"/>
    <w:rsid w:val="076E6040"/>
    <w:rsid w:val="07E323D1"/>
    <w:rsid w:val="07E66F84"/>
    <w:rsid w:val="084312FF"/>
    <w:rsid w:val="08747AEC"/>
    <w:rsid w:val="08861509"/>
    <w:rsid w:val="088E0696"/>
    <w:rsid w:val="08A72B3B"/>
    <w:rsid w:val="08AA1318"/>
    <w:rsid w:val="08AF7F72"/>
    <w:rsid w:val="08B0664C"/>
    <w:rsid w:val="08BC0C40"/>
    <w:rsid w:val="08C47915"/>
    <w:rsid w:val="08D12CE8"/>
    <w:rsid w:val="08D767A2"/>
    <w:rsid w:val="08ED1D35"/>
    <w:rsid w:val="08EF7436"/>
    <w:rsid w:val="091153EC"/>
    <w:rsid w:val="095C586C"/>
    <w:rsid w:val="09837CAA"/>
    <w:rsid w:val="098708AE"/>
    <w:rsid w:val="09B114B7"/>
    <w:rsid w:val="09C01D0D"/>
    <w:rsid w:val="09C4034D"/>
    <w:rsid w:val="09DF25C2"/>
    <w:rsid w:val="0A043DD4"/>
    <w:rsid w:val="0A152E60"/>
    <w:rsid w:val="0A365C24"/>
    <w:rsid w:val="0A4271BB"/>
    <w:rsid w:val="0A4C69F3"/>
    <w:rsid w:val="0A677C76"/>
    <w:rsid w:val="0A8D16B6"/>
    <w:rsid w:val="0A945FC8"/>
    <w:rsid w:val="0AD017FF"/>
    <w:rsid w:val="0B0D3E0C"/>
    <w:rsid w:val="0B237538"/>
    <w:rsid w:val="0B2A34DD"/>
    <w:rsid w:val="0B4B540E"/>
    <w:rsid w:val="0B4F542F"/>
    <w:rsid w:val="0B5843AD"/>
    <w:rsid w:val="0B765B5B"/>
    <w:rsid w:val="0BBB664F"/>
    <w:rsid w:val="0BDC3C7A"/>
    <w:rsid w:val="0BF06371"/>
    <w:rsid w:val="0BFE16FD"/>
    <w:rsid w:val="0C083D82"/>
    <w:rsid w:val="0C2B2187"/>
    <w:rsid w:val="0C3A111C"/>
    <w:rsid w:val="0C5078DE"/>
    <w:rsid w:val="0C532E8C"/>
    <w:rsid w:val="0C5919D1"/>
    <w:rsid w:val="0C766C59"/>
    <w:rsid w:val="0C852310"/>
    <w:rsid w:val="0CA50CD8"/>
    <w:rsid w:val="0CAE08D9"/>
    <w:rsid w:val="0CAF2210"/>
    <w:rsid w:val="0CB1205F"/>
    <w:rsid w:val="0CC56B02"/>
    <w:rsid w:val="0CD4131B"/>
    <w:rsid w:val="0CF120C9"/>
    <w:rsid w:val="0CFF70D5"/>
    <w:rsid w:val="0D06536D"/>
    <w:rsid w:val="0D0F151D"/>
    <w:rsid w:val="0D1440E6"/>
    <w:rsid w:val="0D154302"/>
    <w:rsid w:val="0D1D4F92"/>
    <w:rsid w:val="0D494B5D"/>
    <w:rsid w:val="0D4E59FF"/>
    <w:rsid w:val="0D68630B"/>
    <w:rsid w:val="0D7F17B3"/>
    <w:rsid w:val="0DAA28D1"/>
    <w:rsid w:val="0DAC2F7A"/>
    <w:rsid w:val="0DB9785E"/>
    <w:rsid w:val="0DED5218"/>
    <w:rsid w:val="0DF06E13"/>
    <w:rsid w:val="0DF94813"/>
    <w:rsid w:val="0E1F2C92"/>
    <w:rsid w:val="0E4260E6"/>
    <w:rsid w:val="0E873D07"/>
    <w:rsid w:val="0E8872EF"/>
    <w:rsid w:val="0E963269"/>
    <w:rsid w:val="0EBA3D0F"/>
    <w:rsid w:val="0EBD108E"/>
    <w:rsid w:val="0EC51A25"/>
    <w:rsid w:val="0F2365E1"/>
    <w:rsid w:val="0F6B649C"/>
    <w:rsid w:val="0F73799F"/>
    <w:rsid w:val="0F840C04"/>
    <w:rsid w:val="0FBD2063"/>
    <w:rsid w:val="0FC770EF"/>
    <w:rsid w:val="0FD46395"/>
    <w:rsid w:val="0FD6179D"/>
    <w:rsid w:val="0FF7718A"/>
    <w:rsid w:val="101B2218"/>
    <w:rsid w:val="10211D87"/>
    <w:rsid w:val="104263FC"/>
    <w:rsid w:val="10465198"/>
    <w:rsid w:val="10833C11"/>
    <w:rsid w:val="108D31E0"/>
    <w:rsid w:val="10A46ADD"/>
    <w:rsid w:val="10AB4F16"/>
    <w:rsid w:val="10BD35C7"/>
    <w:rsid w:val="10C1089F"/>
    <w:rsid w:val="10C430FC"/>
    <w:rsid w:val="10EE2F6E"/>
    <w:rsid w:val="11074301"/>
    <w:rsid w:val="1113130F"/>
    <w:rsid w:val="112D6307"/>
    <w:rsid w:val="114A76E9"/>
    <w:rsid w:val="11560D0C"/>
    <w:rsid w:val="11603F53"/>
    <w:rsid w:val="116B5221"/>
    <w:rsid w:val="118A7D10"/>
    <w:rsid w:val="11A93C63"/>
    <w:rsid w:val="11CE1A42"/>
    <w:rsid w:val="11D66D88"/>
    <w:rsid w:val="11DB304C"/>
    <w:rsid w:val="11EC5FD4"/>
    <w:rsid w:val="12001011"/>
    <w:rsid w:val="126A6BDF"/>
    <w:rsid w:val="12982B2B"/>
    <w:rsid w:val="12D606C0"/>
    <w:rsid w:val="12F07F48"/>
    <w:rsid w:val="12FD254C"/>
    <w:rsid w:val="131555DD"/>
    <w:rsid w:val="1317163A"/>
    <w:rsid w:val="132326D3"/>
    <w:rsid w:val="135E6CD6"/>
    <w:rsid w:val="136E36ED"/>
    <w:rsid w:val="137E30B1"/>
    <w:rsid w:val="13860BE4"/>
    <w:rsid w:val="13870A14"/>
    <w:rsid w:val="13A17072"/>
    <w:rsid w:val="13A55415"/>
    <w:rsid w:val="13A60064"/>
    <w:rsid w:val="13BF7313"/>
    <w:rsid w:val="13E833B7"/>
    <w:rsid w:val="144856C2"/>
    <w:rsid w:val="14485D22"/>
    <w:rsid w:val="147529B9"/>
    <w:rsid w:val="14E21050"/>
    <w:rsid w:val="15166027"/>
    <w:rsid w:val="152008E2"/>
    <w:rsid w:val="157A5D4B"/>
    <w:rsid w:val="159F4C86"/>
    <w:rsid w:val="15B83632"/>
    <w:rsid w:val="15C16B31"/>
    <w:rsid w:val="16486296"/>
    <w:rsid w:val="165879B7"/>
    <w:rsid w:val="167C21B6"/>
    <w:rsid w:val="16816BC3"/>
    <w:rsid w:val="16877182"/>
    <w:rsid w:val="168D3A3C"/>
    <w:rsid w:val="16A722D0"/>
    <w:rsid w:val="170470D0"/>
    <w:rsid w:val="17224E02"/>
    <w:rsid w:val="174A0920"/>
    <w:rsid w:val="1763366E"/>
    <w:rsid w:val="17EB6A45"/>
    <w:rsid w:val="17F15F55"/>
    <w:rsid w:val="18143491"/>
    <w:rsid w:val="18541F6E"/>
    <w:rsid w:val="1876442F"/>
    <w:rsid w:val="188A6953"/>
    <w:rsid w:val="189B0DEC"/>
    <w:rsid w:val="18B65219"/>
    <w:rsid w:val="190B01A6"/>
    <w:rsid w:val="19697BC5"/>
    <w:rsid w:val="197120A0"/>
    <w:rsid w:val="19843CC2"/>
    <w:rsid w:val="19983684"/>
    <w:rsid w:val="199F024C"/>
    <w:rsid w:val="19C84D8B"/>
    <w:rsid w:val="19C92BD5"/>
    <w:rsid w:val="19D4436C"/>
    <w:rsid w:val="19D93BB3"/>
    <w:rsid w:val="19DF49F6"/>
    <w:rsid w:val="1A0F712B"/>
    <w:rsid w:val="1A237579"/>
    <w:rsid w:val="1A2A6467"/>
    <w:rsid w:val="1A5F7EF8"/>
    <w:rsid w:val="1A612361"/>
    <w:rsid w:val="1A692480"/>
    <w:rsid w:val="1A7F691A"/>
    <w:rsid w:val="1A9459CD"/>
    <w:rsid w:val="1AA67A69"/>
    <w:rsid w:val="1AA91F3C"/>
    <w:rsid w:val="1AAD4CB7"/>
    <w:rsid w:val="1AC15A62"/>
    <w:rsid w:val="1B026FDC"/>
    <w:rsid w:val="1B0E6672"/>
    <w:rsid w:val="1B997ADF"/>
    <w:rsid w:val="1B9C71DA"/>
    <w:rsid w:val="1BBC5B46"/>
    <w:rsid w:val="1BDD5A46"/>
    <w:rsid w:val="1C5A08CB"/>
    <w:rsid w:val="1C5A37D5"/>
    <w:rsid w:val="1C7F5CF4"/>
    <w:rsid w:val="1C844F99"/>
    <w:rsid w:val="1C9B387A"/>
    <w:rsid w:val="1CA86413"/>
    <w:rsid w:val="1CBC55EE"/>
    <w:rsid w:val="1CDB62DA"/>
    <w:rsid w:val="1CFD009B"/>
    <w:rsid w:val="1D0A421A"/>
    <w:rsid w:val="1D251260"/>
    <w:rsid w:val="1D2765F9"/>
    <w:rsid w:val="1D417A81"/>
    <w:rsid w:val="1D517B25"/>
    <w:rsid w:val="1D52662C"/>
    <w:rsid w:val="1D61678E"/>
    <w:rsid w:val="1D645145"/>
    <w:rsid w:val="1D6A0633"/>
    <w:rsid w:val="1D6F4110"/>
    <w:rsid w:val="1D7D0D4F"/>
    <w:rsid w:val="1DB41E5A"/>
    <w:rsid w:val="1DB70FE5"/>
    <w:rsid w:val="1DB71A48"/>
    <w:rsid w:val="1DF54BEE"/>
    <w:rsid w:val="1E01086B"/>
    <w:rsid w:val="1E112162"/>
    <w:rsid w:val="1E4361B4"/>
    <w:rsid w:val="1E6000B3"/>
    <w:rsid w:val="1E766258"/>
    <w:rsid w:val="1EFB2B33"/>
    <w:rsid w:val="1F1D139B"/>
    <w:rsid w:val="1F3A2EC9"/>
    <w:rsid w:val="1F5D41FB"/>
    <w:rsid w:val="1F7053E3"/>
    <w:rsid w:val="1F7315B8"/>
    <w:rsid w:val="1F9E6845"/>
    <w:rsid w:val="1FB50614"/>
    <w:rsid w:val="1FB57B5F"/>
    <w:rsid w:val="1FC55BF9"/>
    <w:rsid w:val="20036B07"/>
    <w:rsid w:val="20416795"/>
    <w:rsid w:val="20485E60"/>
    <w:rsid w:val="2049095D"/>
    <w:rsid w:val="204E25CC"/>
    <w:rsid w:val="20645E03"/>
    <w:rsid w:val="20656823"/>
    <w:rsid w:val="20872B6B"/>
    <w:rsid w:val="209F280F"/>
    <w:rsid w:val="20B34CB4"/>
    <w:rsid w:val="20E74192"/>
    <w:rsid w:val="20E8515B"/>
    <w:rsid w:val="20ED2428"/>
    <w:rsid w:val="20F0104C"/>
    <w:rsid w:val="21037966"/>
    <w:rsid w:val="211516F9"/>
    <w:rsid w:val="21480A2B"/>
    <w:rsid w:val="217E768F"/>
    <w:rsid w:val="21A25EC1"/>
    <w:rsid w:val="221C0A03"/>
    <w:rsid w:val="221F520B"/>
    <w:rsid w:val="22F464E8"/>
    <w:rsid w:val="23102595"/>
    <w:rsid w:val="233649BD"/>
    <w:rsid w:val="23390CF8"/>
    <w:rsid w:val="23445230"/>
    <w:rsid w:val="234C4978"/>
    <w:rsid w:val="235D112C"/>
    <w:rsid w:val="235E4433"/>
    <w:rsid w:val="237F2221"/>
    <w:rsid w:val="23940177"/>
    <w:rsid w:val="23A7180F"/>
    <w:rsid w:val="23B52D23"/>
    <w:rsid w:val="23BE3486"/>
    <w:rsid w:val="23DE179B"/>
    <w:rsid w:val="241750B5"/>
    <w:rsid w:val="241F3D87"/>
    <w:rsid w:val="24521390"/>
    <w:rsid w:val="2476535F"/>
    <w:rsid w:val="248014F2"/>
    <w:rsid w:val="249C4E4A"/>
    <w:rsid w:val="24AE54B9"/>
    <w:rsid w:val="24D47FE8"/>
    <w:rsid w:val="24ED0FDA"/>
    <w:rsid w:val="24F81438"/>
    <w:rsid w:val="251870E7"/>
    <w:rsid w:val="25502DF5"/>
    <w:rsid w:val="2567285B"/>
    <w:rsid w:val="256B5654"/>
    <w:rsid w:val="256C6B71"/>
    <w:rsid w:val="25A14E4D"/>
    <w:rsid w:val="25AF5921"/>
    <w:rsid w:val="25BE30F8"/>
    <w:rsid w:val="26034D00"/>
    <w:rsid w:val="26262334"/>
    <w:rsid w:val="2654173B"/>
    <w:rsid w:val="2668388F"/>
    <w:rsid w:val="2671641F"/>
    <w:rsid w:val="268A1547"/>
    <w:rsid w:val="2726760B"/>
    <w:rsid w:val="27281DC7"/>
    <w:rsid w:val="27651060"/>
    <w:rsid w:val="276D2E3E"/>
    <w:rsid w:val="27BC4905"/>
    <w:rsid w:val="27D22B63"/>
    <w:rsid w:val="27E25DE6"/>
    <w:rsid w:val="27E3571D"/>
    <w:rsid w:val="281012DE"/>
    <w:rsid w:val="281D3194"/>
    <w:rsid w:val="28371CD9"/>
    <w:rsid w:val="28877349"/>
    <w:rsid w:val="2893739E"/>
    <w:rsid w:val="28B87CA9"/>
    <w:rsid w:val="28C375FA"/>
    <w:rsid w:val="28CC407F"/>
    <w:rsid w:val="28F26E1C"/>
    <w:rsid w:val="29056FD8"/>
    <w:rsid w:val="29083D17"/>
    <w:rsid w:val="291B69A1"/>
    <w:rsid w:val="29315FA2"/>
    <w:rsid w:val="29427C8D"/>
    <w:rsid w:val="29471828"/>
    <w:rsid w:val="295278EB"/>
    <w:rsid w:val="2974014A"/>
    <w:rsid w:val="29814232"/>
    <w:rsid w:val="2A1F3E3F"/>
    <w:rsid w:val="2A647A65"/>
    <w:rsid w:val="2AEB5F76"/>
    <w:rsid w:val="2B0471A2"/>
    <w:rsid w:val="2B5F2758"/>
    <w:rsid w:val="2B77559F"/>
    <w:rsid w:val="2BAB0C35"/>
    <w:rsid w:val="2BE07D12"/>
    <w:rsid w:val="2BE43EDF"/>
    <w:rsid w:val="2C020D58"/>
    <w:rsid w:val="2C062248"/>
    <w:rsid w:val="2C3C6C40"/>
    <w:rsid w:val="2C4252CD"/>
    <w:rsid w:val="2C5C2AC2"/>
    <w:rsid w:val="2C620A7A"/>
    <w:rsid w:val="2C6B57F0"/>
    <w:rsid w:val="2C794F1B"/>
    <w:rsid w:val="2C892158"/>
    <w:rsid w:val="2CEF5816"/>
    <w:rsid w:val="2D2B5BA4"/>
    <w:rsid w:val="2D3277B7"/>
    <w:rsid w:val="2D5301F0"/>
    <w:rsid w:val="2D8F379E"/>
    <w:rsid w:val="2D8F684C"/>
    <w:rsid w:val="2DA32A8E"/>
    <w:rsid w:val="2DB228B6"/>
    <w:rsid w:val="2DBD6096"/>
    <w:rsid w:val="2DC60DA1"/>
    <w:rsid w:val="2E140F22"/>
    <w:rsid w:val="2E5B0F11"/>
    <w:rsid w:val="2E6030FC"/>
    <w:rsid w:val="2EB85034"/>
    <w:rsid w:val="2EFA1321"/>
    <w:rsid w:val="2F084AAC"/>
    <w:rsid w:val="2F361843"/>
    <w:rsid w:val="2F4607D4"/>
    <w:rsid w:val="2F5F3B6A"/>
    <w:rsid w:val="2F6F37F9"/>
    <w:rsid w:val="2F7610DD"/>
    <w:rsid w:val="2FAA7EAA"/>
    <w:rsid w:val="2FAF42C8"/>
    <w:rsid w:val="2FCB2C03"/>
    <w:rsid w:val="2FCE3837"/>
    <w:rsid w:val="2FEF2ACF"/>
    <w:rsid w:val="30642AF1"/>
    <w:rsid w:val="307A24E3"/>
    <w:rsid w:val="307F1BDF"/>
    <w:rsid w:val="309061AB"/>
    <w:rsid w:val="30BB3500"/>
    <w:rsid w:val="30F33649"/>
    <w:rsid w:val="310B6782"/>
    <w:rsid w:val="313A1850"/>
    <w:rsid w:val="318D7297"/>
    <w:rsid w:val="31E53BD8"/>
    <w:rsid w:val="31E649B4"/>
    <w:rsid w:val="31F27AF7"/>
    <w:rsid w:val="31FA610D"/>
    <w:rsid w:val="31FD21BE"/>
    <w:rsid w:val="320831A2"/>
    <w:rsid w:val="323944BA"/>
    <w:rsid w:val="32404EA8"/>
    <w:rsid w:val="325D7758"/>
    <w:rsid w:val="32604EB6"/>
    <w:rsid w:val="32704FB7"/>
    <w:rsid w:val="327360D5"/>
    <w:rsid w:val="32770709"/>
    <w:rsid w:val="327B56DF"/>
    <w:rsid w:val="32892EB1"/>
    <w:rsid w:val="32B11DF1"/>
    <w:rsid w:val="32B85545"/>
    <w:rsid w:val="32CF5ADE"/>
    <w:rsid w:val="32D76116"/>
    <w:rsid w:val="32E20907"/>
    <w:rsid w:val="32F70262"/>
    <w:rsid w:val="33182487"/>
    <w:rsid w:val="33186C8A"/>
    <w:rsid w:val="33311883"/>
    <w:rsid w:val="333D1021"/>
    <w:rsid w:val="33452BAA"/>
    <w:rsid w:val="334E12BB"/>
    <w:rsid w:val="335D3AD4"/>
    <w:rsid w:val="335F3754"/>
    <w:rsid w:val="33956111"/>
    <w:rsid w:val="339A454B"/>
    <w:rsid w:val="33C92430"/>
    <w:rsid w:val="33CC6306"/>
    <w:rsid w:val="33FE4615"/>
    <w:rsid w:val="33FF2E2D"/>
    <w:rsid w:val="34157D06"/>
    <w:rsid w:val="345352E6"/>
    <w:rsid w:val="3465020F"/>
    <w:rsid w:val="346F6A70"/>
    <w:rsid w:val="34887D3E"/>
    <w:rsid w:val="348C72C2"/>
    <w:rsid w:val="348E1C47"/>
    <w:rsid w:val="34A30383"/>
    <w:rsid w:val="34B23FC6"/>
    <w:rsid w:val="34B3764B"/>
    <w:rsid w:val="34D06B52"/>
    <w:rsid w:val="34FD577E"/>
    <w:rsid w:val="354C6D03"/>
    <w:rsid w:val="35B8262E"/>
    <w:rsid w:val="361559A0"/>
    <w:rsid w:val="362D5E70"/>
    <w:rsid w:val="363E7508"/>
    <w:rsid w:val="36430014"/>
    <w:rsid w:val="364B6127"/>
    <w:rsid w:val="365F17D9"/>
    <w:rsid w:val="367E4976"/>
    <w:rsid w:val="368564FF"/>
    <w:rsid w:val="36875285"/>
    <w:rsid w:val="368B3475"/>
    <w:rsid w:val="36BB1AA7"/>
    <w:rsid w:val="36C72259"/>
    <w:rsid w:val="370F16D6"/>
    <w:rsid w:val="37140DF7"/>
    <w:rsid w:val="37142E18"/>
    <w:rsid w:val="37280639"/>
    <w:rsid w:val="374A66EF"/>
    <w:rsid w:val="375869AC"/>
    <w:rsid w:val="37767142"/>
    <w:rsid w:val="377C7DD7"/>
    <w:rsid w:val="37A23453"/>
    <w:rsid w:val="38076970"/>
    <w:rsid w:val="383438BF"/>
    <w:rsid w:val="38360444"/>
    <w:rsid w:val="38791113"/>
    <w:rsid w:val="387A196A"/>
    <w:rsid w:val="38965B94"/>
    <w:rsid w:val="389E210A"/>
    <w:rsid w:val="38AA1738"/>
    <w:rsid w:val="38BF1A67"/>
    <w:rsid w:val="38CF18C3"/>
    <w:rsid w:val="391A1B0F"/>
    <w:rsid w:val="39570C14"/>
    <w:rsid w:val="39C8433A"/>
    <w:rsid w:val="39DB1222"/>
    <w:rsid w:val="39F63CA8"/>
    <w:rsid w:val="39F96E2B"/>
    <w:rsid w:val="39FA24D1"/>
    <w:rsid w:val="3A043425"/>
    <w:rsid w:val="3A251E1F"/>
    <w:rsid w:val="3A35598B"/>
    <w:rsid w:val="3A6B5A2C"/>
    <w:rsid w:val="3A790C4B"/>
    <w:rsid w:val="3A9B5A66"/>
    <w:rsid w:val="3ACD1DA9"/>
    <w:rsid w:val="3AD8429B"/>
    <w:rsid w:val="3ADF548A"/>
    <w:rsid w:val="3B094A6A"/>
    <w:rsid w:val="3B1927F6"/>
    <w:rsid w:val="3B3101AC"/>
    <w:rsid w:val="3B3E04D0"/>
    <w:rsid w:val="3B457B92"/>
    <w:rsid w:val="3B7663F4"/>
    <w:rsid w:val="3B854631"/>
    <w:rsid w:val="3B9349CE"/>
    <w:rsid w:val="3B995177"/>
    <w:rsid w:val="3BA316CA"/>
    <w:rsid w:val="3BA548E8"/>
    <w:rsid w:val="3BC5283C"/>
    <w:rsid w:val="3BF06039"/>
    <w:rsid w:val="3C09460C"/>
    <w:rsid w:val="3C371C58"/>
    <w:rsid w:val="3C440DF9"/>
    <w:rsid w:val="3C810238"/>
    <w:rsid w:val="3C8B16E3"/>
    <w:rsid w:val="3C9721B2"/>
    <w:rsid w:val="3C9F05EC"/>
    <w:rsid w:val="3CD32B19"/>
    <w:rsid w:val="3CD91462"/>
    <w:rsid w:val="3D0F2AA3"/>
    <w:rsid w:val="3D1B32A0"/>
    <w:rsid w:val="3D373021"/>
    <w:rsid w:val="3D3E7FAC"/>
    <w:rsid w:val="3D4E3B8C"/>
    <w:rsid w:val="3D6A2862"/>
    <w:rsid w:val="3D883E24"/>
    <w:rsid w:val="3D891605"/>
    <w:rsid w:val="3D8E134E"/>
    <w:rsid w:val="3DA13429"/>
    <w:rsid w:val="3DCE51F2"/>
    <w:rsid w:val="3DD314BA"/>
    <w:rsid w:val="3DFA15C0"/>
    <w:rsid w:val="3E157A3E"/>
    <w:rsid w:val="3EC15CCF"/>
    <w:rsid w:val="3F073ADC"/>
    <w:rsid w:val="3F181D11"/>
    <w:rsid w:val="3F1A7CD4"/>
    <w:rsid w:val="3F3338ED"/>
    <w:rsid w:val="3F5056EE"/>
    <w:rsid w:val="3F575F46"/>
    <w:rsid w:val="3F6371D0"/>
    <w:rsid w:val="3F871CA4"/>
    <w:rsid w:val="3F9503E1"/>
    <w:rsid w:val="3F9F2EEF"/>
    <w:rsid w:val="3FA0645E"/>
    <w:rsid w:val="3FAD7450"/>
    <w:rsid w:val="4001563F"/>
    <w:rsid w:val="40030F9B"/>
    <w:rsid w:val="400979EE"/>
    <w:rsid w:val="402045AD"/>
    <w:rsid w:val="40400F17"/>
    <w:rsid w:val="40B375A1"/>
    <w:rsid w:val="40E35B04"/>
    <w:rsid w:val="41035B06"/>
    <w:rsid w:val="410473FC"/>
    <w:rsid w:val="4114428E"/>
    <w:rsid w:val="41257D97"/>
    <w:rsid w:val="412A2BF9"/>
    <w:rsid w:val="41880811"/>
    <w:rsid w:val="418A142B"/>
    <w:rsid w:val="41A677F4"/>
    <w:rsid w:val="41DC16BC"/>
    <w:rsid w:val="41F06F3B"/>
    <w:rsid w:val="420A1A68"/>
    <w:rsid w:val="42441A8E"/>
    <w:rsid w:val="424961B9"/>
    <w:rsid w:val="42590E40"/>
    <w:rsid w:val="425A7DB7"/>
    <w:rsid w:val="428D483B"/>
    <w:rsid w:val="42AB63DF"/>
    <w:rsid w:val="42C76F9F"/>
    <w:rsid w:val="42EA174A"/>
    <w:rsid w:val="42F52F66"/>
    <w:rsid w:val="431E79AD"/>
    <w:rsid w:val="43675A6C"/>
    <w:rsid w:val="43A645BE"/>
    <w:rsid w:val="43A6660D"/>
    <w:rsid w:val="43C979D4"/>
    <w:rsid w:val="43F72B19"/>
    <w:rsid w:val="440F1A8E"/>
    <w:rsid w:val="441722A4"/>
    <w:rsid w:val="4468793F"/>
    <w:rsid w:val="448D5606"/>
    <w:rsid w:val="44AB6CB7"/>
    <w:rsid w:val="44AF0E75"/>
    <w:rsid w:val="44C42639"/>
    <w:rsid w:val="44F55F2E"/>
    <w:rsid w:val="44FB7EC7"/>
    <w:rsid w:val="45007B43"/>
    <w:rsid w:val="450B59A8"/>
    <w:rsid w:val="45252301"/>
    <w:rsid w:val="455B3CE5"/>
    <w:rsid w:val="456033DF"/>
    <w:rsid w:val="457110FB"/>
    <w:rsid w:val="459C0CF6"/>
    <w:rsid w:val="45A81796"/>
    <w:rsid w:val="45F67C81"/>
    <w:rsid w:val="46002D17"/>
    <w:rsid w:val="46157155"/>
    <w:rsid w:val="462640A2"/>
    <w:rsid w:val="466C2F1F"/>
    <w:rsid w:val="46996B6A"/>
    <w:rsid w:val="46A401F3"/>
    <w:rsid w:val="46E858BC"/>
    <w:rsid w:val="46F5151C"/>
    <w:rsid w:val="47331C9C"/>
    <w:rsid w:val="473A1CA5"/>
    <w:rsid w:val="473B7D99"/>
    <w:rsid w:val="473E03F2"/>
    <w:rsid w:val="47830694"/>
    <w:rsid w:val="47950E01"/>
    <w:rsid w:val="47FC2C01"/>
    <w:rsid w:val="47FF472E"/>
    <w:rsid w:val="486B0E5A"/>
    <w:rsid w:val="486D26DF"/>
    <w:rsid w:val="48C02DE0"/>
    <w:rsid w:val="48C61172"/>
    <w:rsid w:val="48CA6933"/>
    <w:rsid w:val="48D27FF8"/>
    <w:rsid w:val="48E7672C"/>
    <w:rsid w:val="495C5AA2"/>
    <w:rsid w:val="49891279"/>
    <w:rsid w:val="499D4576"/>
    <w:rsid w:val="499F3E2E"/>
    <w:rsid w:val="49B145F3"/>
    <w:rsid w:val="49E8254F"/>
    <w:rsid w:val="4A0D72BD"/>
    <w:rsid w:val="4A196056"/>
    <w:rsid w:val="4A1962B3"/>
    <w:rsid w:val="4A222428"/>
    <w:rsid w:val="4A327B96"/>
    <w:rsid w:val="4A537A00"/>
    <w:rsid w:val="4A694E9E"/>
    <w:rsid w:val="4A7843BC"/>
    <w:rsid w:val="4A8D5804"/>
    <w:rsid w:val="4A9C7000"/>
    <w:rsid w:val="4ABB21BA"/>
    <w:rsid w:val="4B5701A7"/>
    <w:rsid w:val="4B9C40D1"/>
    <w:rsid w:val="4BA719B5"/>
    <w:rsid w:val="4BC77561"/>
    <w:rsid w:val="4BD32502"/>
    <w:rsid w:val="4BEE70F5"/>
    <w:rsid w:val="4BF957B2"/>
    <w:rsid w:val="4C082549"/>
    <w:rsid w:val="4C0C560D"/>
    <w:rsid w:val="4C226976"/>
    <w:rsid w:val="4C485734"/>
    <w:rsid w:val="4C5F0356"/>
    <w:rsid w:val="4CC51E52"/>
    <w:rsid w:val="4CCA7EF7"/>
    <w:rsid w:val="4D1107FD"/>
    <w:rsid w:val="4D2E6E06"/>
    <w:rsid w:val="4D7560B4"/>
    <w:rsid w:val="4DE43B3E"/>
    <w:rsid w:val="4E0A59EA"/>
    <w:rsid w:val="4E1A6AB1"/>
    <w:rsid w:val="4E47299C"/>
    <w:rsid w:val="4E6400A6"/>
    <w:rsid w:val="4E7D2D43"/>
    <w:rsid w:val="4E9066F0"/>
    <w:rsid w:val="4EB621B3"/>
    <w:rsid w:val="4EEF5810"/>
    <w:rsid w:val="4F691C56"/>
    <w:rsid w:val="4FD55141"/>
    <w:rsid w:val="4FD96C5F"/>
    <w:rsid w:val="4FE1061B"/>
    <w:rsid w:val="4FF108B5"/>
    <w:rsid w:val="4FF550BD"/>
    <w:rsid w:val="50184E3E"/>
    <w:rsid w:val="501E0480"/>
    <w:rsid w:val="5022039A"/>
    <w:rsid w:val="50242389"/>
    <w:rsid w:val="504E6C0A"/>
    <w:rsid w:val="50666784"/>
    <w:rsid w:val="50B079EF"/>
    <w:rsid w:val="50FE2850"/>
    <w:rsid w:val="51073F4E"/>
    <w:rsid w:val="510B6E04"/>
    <w:rsid w:val="51410CBA"/>
    <w:rsid w:val="51413A5A"/>
    <w:rsid w:val="516052CE"/>
    <w:rsid w:val="517664B3"/>
    <w:rsid w:val="517B781B"/>
    <w:rsid w:val="51876A18"/>
    <w:rsid w:val="518A27A1"/>
    <w:rsid w:val="51977520"/>
    <w:rsid w:val="51CA3CFC"/>
    <w:rsid w:val="51DA06F4"/>
    <w:rsid w:val="51FF0996"/>
    <w:rsid w:val="520C1A88"/>
    <w:rsid w:val="525C70C2"/>
    <w:rsid w:val="526E28DF"/>
    <w:rsid w:val="527E2A15"/>
    <w:rsid w:val="52BA47BA"/>
    <w:rsid w:val="52D84EC9"/>
    <w:rsid w:val="52E11A47"/>
    <w:rsid w:val="52E57838"/>
    <w:rsid w:val="53144C5A"/>
    <w:rsid w:val="533C25EA"/>
    <w:rsid w:val="541D0D18"/>
    <w:rsid w:val="541D6638"/>
    <w:rsid w:val="542D31A9"/>
    <w:rsid w:val="543505B5"/>
    <w:rsid w:val="545220E4"/>
    <w:rsid w:val="545738BA"/>
    <w:rsid w:val="54583A98"/>
    <w:rsid w:val="546126FE"/>
    <w:rsid w:val="547C241E"/>
    <w:rsid w:val="54D3597B"/>
    <w:rsid w:val="54E44C9D"/>
    <w:rsid w:val="55000F83"/>
    <w:rsid w:val="553C3FA5"/>
    <w:rsid w:val="55434EEF"/>
    <w:rsid w:val="554B0BE4"/>
    <w:rsid w:val="556777AF"/>
    <w:rsid w:val="557D5095"/>
    <w:rsid w:val="558843B8"/>
    <w:rsid w:val="55C8213D"/>
    <w:rsid w:val="55CD12E9"/>
    <w:rsid w:val="56492C52"/>
    <w:rsid w:val="565902BA"/>
    <w:rsid w:val="566C264C"/>
    <w:rsid w:val="567B1855"/>
    <w:rsid w:val="56A61B14"/>
    <w:rsid w:val="56EE2D2C"/>
    <w:rsid w:val="56F50139"/>
    <w:rsid w:val="57020458"/>
    <w:rsid w:val="57260908"/>
    <w:rsid w:val="572F3778"/>
    <w:rsid w:val="57367F90"/>
    <w:rsid w:val="573E2F05"/>
    <w:rsid w:val="5740208C"/>
    <w:rsid w:val="57415823"/>
    <w:rsid w:val="575C7E3B"/>
    <w:rsid w:val="578357F2"/>
    <w:rsid w:val="57A624DB"/>
    <w:rsid w:val="57AC0A6A"/>
    <w:rsid w:val="58131BA0"/>
    <w:rsid w:val="581D77A2"/>
    <w:rsid w:val="582B01B6"/>
    <w:rsid w:val="582E5FE1"/>
    <w:rsid w:val="584B05A2"/>
    <w:rsid w:val="585F1D68"/>
    <w:rsid w:val="586C3723"/>
    <w:rsid w:val="58784A31"/>
    <w:rsid w:val="587A5D36"/>
    <w:rsid w:val="58987DA7"/>
    <w:rsid w:val="589B3CED"/>
    <w:rsid w:val="59001493"/>
    <w:rsid w:val="591F7797"/>
    <w:rsid w:val="59237CE7"/>
    <w:rsid w:val="592C090B"/>
    <w:rsid w:val="59350D2C"/>
    <w:rsid w:val="594669D6"/>
    <w:rsid w:val="594B1CEF"/>
    <w:rsid w:val="595219A0"/>
    <w:rsid w:val="597162CE"/>
    <w:rsid w:val="597D42DF"/>
    <w:rsid w:val="599E0806"/>
    <w:rsid w:val="599E4814"/>
    <w:rsid w:val="59C95F8C"/>
    <w:rsid w:val="59E86AAF"/>
    <w:rsid w:val="5A0740B4"/>
    <w:rsid w:val="5A3D573A"/>
    <w:rsid w:val="5A7A11AE"/>
    <w:rsid w:val="5A965A46"/>
    <w:rsid w:val="5AB93157"/>
    <w:rsid w:val="5ACD2479"/>
    <w:rsid w:val="5AD46A2D"/>
    <w:rsid w:val="5AE66844"/>
    <w:rsid w:val="5AF36426"/>
    <w:rsid w:val="5B022E7C"/>
    <w:rsid w:val="5B024968"/>
    <w:rsid w:val="5B0647F0"/>
    <w:rsid w:val="5B6A0607"/>
    <w:rsid w:val="5B714AE5"/>
    <w:rsid w:val="5BA41B78"/>
    <w:rsid w:val="5BD771F3"/>
    <w:rsid w:val="5BE96957"/>
    <w:rsid w:val="5C2D4AF7"/>
    <w:rsid w:val="5C457071"/>
    <w:rsid w:val="5C534391"/>
    <w:rsid w:val="5C5872CD"/>
    <w:rsid w:val="5C692729"/>
    <w:rsid w:val="5CB95BD3"/>
    <w:rsid w:val="5CC32F85"/>
    <w:rsid w:val="5CDB7005"/>
    <w:rsid w:val="5CEB19FD"/>
    <w:rsid w:val="5D3304C7"/>
    <w:rsid w:val="5DD451FE"/>
    <w:rsid w:val="5DD75A18"/>
    <w:rsid w:val="5DFC50BD"/>
    <w:rsid w:val="5E5E3171"/>
    <w:rsid w:val="5E8545C5"/>
    <w:rsid w:val="5E8D242E"/>
    <w:rsid w:val="5E9B7945"/>
    <w:rsid w:val="5EB96801"/>
    <w:rsid w:val="5EBC0655"/>
    <w:rsid w:val="5ED6597D"/>
    <w:rsid w:val="5EEA6F44"/>
    <w:rsid w:val="5F14140D"/>
    <w:rsid w:val="5F17095D"/>
    <w:rsid w:val="5F294966"/>
    <w:rsid w:val="5F334230"/>
    <w:rsid w:val="5F570A83"/>
    <w:rsid w:val="5F7D0126"/>
    <w:rsid w:val="5FD06575"/>
    <w:rsid w:val="5FDC33D5"/>
    <w:rsid w:val="5FF27777"/>
    <w:rsid w:val="60407876"/>
    <w:rsid w:val="6050355A"/>
    <w:rsid w:val="60BC0B5D"/>
    <w:rsid w:val="60DB659C"/>
    <w:rsid w:val="610F6522"/>
    <w:rsid w:val="611C105E"/>
    <w:rsid w:val="612B4FB0"/>
    <w:rsid w:val="613162C0"/>
    <w:rsid w:val="61493F9B"/>
    <w:rsid w:val="61542C02"/>
    <w:rsid w:val="6198112C"/>
    <w:rsid w:val="61C13DE1"/>
    <w:rsid w:val="61CB0541"/>
    <w:rsid w:val="61E324A5"/>
    <w:rsid w:val="625E432F"/>
    <w:rsid w:val="62773DC1"/>
    <w:rsid w:val="627E48A2"/>
    <w:rsid w:val="62951D75"/>
    <w:rsid w:val="62B01BF9"/>
    <w:rsid w:val="62C4089A"/>
    <w:rsid w:val="62CA098F"/>
    <w:rsid w:val="62D607B4"/>
    <w:rsid w:val="62EE3CFB"/>
    <w:rsid w:val="63185A08"/>
    <w:rsid w:val="631F442B"/>
    <w:rsid w:val="63245914"/>
    <w:rsid w:val="632F3014"/>
    <w:rsid w:val="63701D5A"/>
    <w:rsid w:val="63857653"/>
    <w:rsid w:val="63A11F18"/>
    <w:rsid w:val="63A57B87"/>
    <w:rsid w:val="63DF6A68"/>
    <w:rsid w:val="63E87188"/>
    <w:rsid w:val="6401649C"/>
    <w:rsid w:val="641D655D"/>
    <w:rsid w:val="642161BD"/>
    <w:rsid w:val="646D1B4F"/>
    <w:rsid w:val="647B4B09"/>
    <w:rsid w:val="648E30E9"/>
    <w:rsid w:val="649309EA"/>
    <w:rsid w:val="649D011F"/>
    <w:rsid w:val="64AD61BC"/>
    <w:rsid w:val="64AF38BD"/>
    <w:rsid w:val="64B259E8"/>
    <w:rsid w:val="64B66ACB"/>
    <w:rsid w:val="65077AE2"/>
    <w:rsid w:val="652C450B"/>
    <w:rsid w:val="65343B16"/>
    <w:rsid w:val="655A1AB8"/>
    <w:rsid w:val="656C7997"/>
    <w:rsid w:val="65B221E6"/>
    <w:rsid w:val="65BF14FC"/>
    <w:rsid w:val="65C15EE3"/>
    <w:rsid w:val="65E95E16"/>
    <w:rsid w:val="65EA5BC3"/>
    <w:rsid w:val="65F42170"/>
    <w:rsid w:val="66616B07"/>
    <w:rsid w:val="668112B6"/>
    <w:rsid w:val="66A11B49"/>
    <w:rsid w:val="670909A5"/>
    <w:rsid w:val="670F5DC8"/>
    <w:rsid w:val="67125ABE"/>
    <w:rsid w:val="67132F5B"/>
    <w:rsid w:val="671F68A0"/>
    <w:rsid w:val="675F31A6"/>
    <w:rsid w:val="67640442"/>
    <w:rsid w:val="67762DCB"/>
    <w:rsid w:val="6784541A"/>
    <w:rsid w:val="67984605"/>
    <w:rsid w:val="67AD0D27"/>
    <w:rsid w:val="67AF09A7"/>
    <w:rsid w:val="68014F2E"/>
    <w:rsid w:val="681770D1"/>
    <w:rsid w:val="6825333E"/>
    <w:rsid w:val="68457090"/>
    <w:rsid w:val="68592ABA"/>
    <w:rsid w:val="68940BAE"/>
    <w:rsid w:val="68B4467F"/>
    <w:rsid w:val="68BA56DA"/>
    <w:rsid w:val="68C1262F"/>
    <w:rsid w:val="68C617F4"/>
    <w:rsid w:val="68D31406"/>
    <w:rsid w:val="68D74261"/>
    <w:rsid w:val="691079C5"/>
    <w:rsid w:val="691357BD"/>
    <w:rsid w:val="692C0E0F"/>
    <w:rsid w:val="693343A6"/>
    <w:rsid w:val="693966D8"/>
    <w:rsid w:val="693968FA"/>
    <w:rsid w:val="69592C93"/>
    <w:rsid w:val="696B71DF"/>
    <w:rsid w:val="69705E9C"/>
    <w:rsid w:val="697213A1"/>
    <w:rsid w:val="697E0FA2"/>
    <w:rsid w:val="69C47E81"/>
    <w:rsid w:val="69D53CDE"/>
    <w:rsid w:val="6A386990"/>
    <w:rsid w:val="6A3C4858"/>
    <w:rsid w:val="6A4D6E6C"/>
    <w:rsid w:val="6A584189"/>
    <w:rsid w:val="6A684712"/>
    <w:rsid w:val="6A6B18D8"/>
    <w:rsid w:val="6A6E23B2"/>
    <w:rsid w:val="6A8B3277"/>
    <w:rsid w:val="6A8E3EA0"/>
    <w:rsid w:val="6A9774F1"/>
    <w:rsid w:val="6ABB3600"/>
    <w:rsid w:val="6AEA5AFA"/>
    <w:rsid w:val="6B58428A"/>
    <w:rsid w:val="6B907123"/>
    <w:rsid w:val="6BCB406A"/>
    <w:rsid w:val="6C051C28"/>
    <w:rsid w:val="6C1369DD"/>
    <w:rsid w:val="6C180065"/>
    <w:rsid w:val="6C272092"/>
    <w:rsid w:val="6C360305"/>
    <w:rsid w:val="6C39469E"/>
    <w:rsid w:val="6C600F38"/>
    <w:rsid w:val="6C890C1C"/>
    <w:rsid w:val="6CCA070A"/>
    <w:rsid w:val="6CE8592F"/>
    <w:rsid w:val="6CF42670"/>
    <w:rsid w:val="6CFC0D94"/>
    <w:rsid w:val="6D000079"/>
    <w:rsid w:val="6D220D98"/>
    <w:rsid w:val="6D2E056A"/>
    <w:rsid w:val="6D427E68"/>
    <w:rsid w:val="6D545029"/>
    <w:rsid w:val="6D873B06"/>
    <w:rsid w:val="6DA77479"/>
    <w:rsid w:val="6DCE7650"/>
    <w:rsid w:val="6DDC3A4A"/>
    <w:rsid w:val="6E545085"/>
    <w:rsid w:val="6E5721D7"/>
    <w:rsid w:val="6E59295D"/>
    <w:rsid w:val="6E5F00A3"/>
    <w:rsid w:val="6E7E6F3D"/>
    <w:rsid w:val="6E9B2B83"/>
    <w:rsid w:val="6E9D6087"/>
    <w:rsid w:val="6F0926A9"/>
    <w:rsid w:val="6F270E50"/>
    <w:rsid w:val="6F5D06C3"/>
    <w:rsid w:val="6F7D7193"/>
    <w:rsid w:val="6FBF4991"/>
    <w:rsid w:val="6FC22A91"/>
    <w:rsid w:val="70452417"/>
    <w:rsid w:val="704561B0"/>
    <w:rsid w:val="706F7643"/>
    <w:rsid w:val="709E20F9"/>
    <w:rsid w:val="709F1517"/>
    <w:rsid w:val="70C71E93"/>
    <w:rsid w:val="70D93433"/>
    <w:rsid w:val="70F80C27"/>
    <w:rsid w:val="71342848"/>
    <w:rsid w:val="714162DA"/>
    <w:rsid w:val="71D80AB5"/>
    <w:rsid w:val="71DF4B04"/>
    <w:rsid w:val="71F51076"/>
    <w:rsid w:val="7208239E"/>
    <w:rsid w:val="720A7028"/>
    <w:rsid w:val="723301EC"/>
    <w:rsid w:val="72345034"/>
    <w:rsid w:val="72357E6C"/>
    <w:rsid w:val="72BB2C08"/>
    <w:rsid w:val="72D0217D"/>
    <w:rsid w:val="72F9761D"/>
    <w:rsid w:val="731E338E"/>
    <w:rsid w:val="73261A7B"/>
    <w:rsid w:val="73350F70"/>
    <w:rsid w:val="736B3932"/>
    <w:rsid w:val="73A02941"/>
    <w:rsid w:val="73A32628"/>
    <w:rsid w:val="73B748B1"/>
    <w:rsid w:val="73C71A44"/>
    <w:rsid w:val="73E23AB8"/>
    <w:rsid w:val="740500E7"/>
    <w:rsid w:val="74133B78"/>
    <w:rsid w:val="74231984"/>
    <w:rsid w:val="74372B74"/>
    <w:rsid w:val="747846C3"/>
    <w:rsid w:val="747A00A6"/>
    <w:rsid w:val="74BF7C3B"/>
    <w:rsid w:val="74C47221"/>
    <w:rsid w:val="74C97C97"/>
    <w:rsid w:val="74E76663"/>
    <w:rsid w:val="74F41F6E"/>
    <w:rsid w:val="751637A7"/>
    <w:rsid w:val="7524023C"/>
    <w:rsid w:val="753B4576"/>
    <w:rsid w:val="753C002D"/>
    <w:rsid w:val="7546192E"/>
    <w:rsid w:val="75556648"/>
    <w:rsid w:val="756357C0"/>
    <w:rsid w:val="75660B34"/>
    <w:rsid w:val="756C336B"/>
    <w:rsid w:val="757F32CB"/>
    <w:rsid w:val="75AB4756"/>
    <w:rsid w:val="75E07A32"/>
    <w:rsid w:val="76054E3F"/>
    <w:rsid w:val="761558C9"/>
    <w:rsid w:val="7652572E"/>
    <w:rsid w:val="767E1A75"/>
    <w:rsid w:val="76A16509"/>
    <w:rsid w:val="76DF0210"/>
    <w:rsid w:val="77032CB4"/>
    <w:rsid w:val="7711272C"/>
    <w:rsid w:val="772E3E17"/>
    <w:rsid w:val="77361421"/>
    <w:rsid w:val="779D7E32"/>
    <w:rsid w:val="77A51969"/>
    <w:rsid w:val="77BD4980"/>
    <w:rsid w:val="77BF7E83"/>
    <w:rsid w:val="77C82127"/>
    <w:rsid w:val="77EB41CA"/>
    <w:rsid w:val="780E1EFE"/>
    <w:rsid w:val="782170D7"/>
    <w:rsid w:val="782C7FA8"/>
    <w:rsid w:val="78530078"/>
    <w:rsid w:val="785638E0"/>
    <w:rsid w:val="78A31F60"/>
    <w:rsid w:val="78A376CA"/>
    <w:rsid w:val="78AC0D11"/>
    <w:rsid w:val="78B147A8"/>
    <w:rsid w:val="78C0763E"/>
    <w:rsid w:val="78CA3838"/>
    <w:rsid w:val="78E8101C"/>
    <w:rsid w:val="78F3619D"/>
    <w:rsid w:val="78F66093"/>
    <w:rsid w:val="79217595"/>
    <w:rsid w:val="79717A8C"/>
    <w:rsid w:val="7991140F"/>
    <w:rsid w:val="799D5C9D"/>
    <w:rsid w:val="79AE31E8"/>
    <w:rsid w:val="79B45919"/>
    <w:rsid w:val="79CE1668"/>
    <w:rsid w:val="79E41D86"/>
    <w:rsid w:val="7A00611B"/>
    <w:rsid w:val="7A335389"/>
    <w:rsid w:val="7A3F4A1F"/>
    <w:rsid w:val="7A517F69"/>
    <w:rsid w:val="7A643E1C"/>
    <w:rsid w:val="7A7570F7"/>
    <w:rsid w:val="7A7A3AF0"/>
    <w:rsid w:val="7A995229"/>
    <w:rsid w:val="7AB7279B"/>
    <w:rsid w:val="7AFD28FE"/>
    <w:rsid w:val="7B050F64"/>
    <w:rsid w:val="7B1D4732"/>
    <w:rsid w:val="7B42141C"/>
    <w:rsid w:val="7B761014"/>
    <w:rsid w:val="7B7B504E"/>
    <w:rsid w:val="7B852761"/>
    <w:rsid w:val="7BA576F6"/>
    <w:rsid w:val="7BC65066"/>
    <w:rsid w:val="7C0C0492"/>
    <w:rsid w:val="7C330351"/>
    <w:rsid w:val="7C463AEF"/>
    <w:rsid w:val="7C532E05"/>
    <w:rsid w:val="7C975E78"/>
    <w:rsid w:val="7D042C28"/>
    <w:rsid w:val="7D360B0D"/>
    <w:rsid w:val="7D4672A0"/>
    <w:rsid w:val="7D4704B1"/>
    <w:rsid w:val="7D7A16B6"/>
    <w:rsid w:val="7E23600D"/>
    <w:rsid w:val="7E2F630C"/>
    <w:rsid w:val="7E37429F"/>
    <w:rsid w:val="7E8E6727"/>
    <w:rsid w:val="7EB119EA"/>
    <w:rsid w:val="7ECB797B"/>
    <w:rsid w:val="7ECC0016"/>
    <w:rsid w:val="7EDC02B0"/>
    <w:rsid w:val="7EEB3B79"/>
    <w:rsid w:val="7F4F291E"/>
    <w:rsid w:val="7F6C0C97"/>
    <w:rsid w:val="7F7E49ED"/>
    <w:rsid w:val="7FC401C8"/>
    <w:rsid w:val="7FD648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方正仿宋_GBK" w:hAnsi="Times New Roman" w:eastAsia="方正仿宋_GBK" w:cs="Times New Roman"/>
      <w:kern w:val="32"/>
      <w:sz w:val="32"/>
      <w:szCs w:val="3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before="226"/>
      <w:ind w:left="120" w:right="420" w:firstLine="640"/>
    </w:pPr>
    <w:rPr>
      <w:rFonts w:ascii="仿宋" w:hAnsi="仿宋" w:cs="仿宋"/>
      <w:lang w:val="zh-CN" w:bidi="zh-CN"/>
    </w:rPr>
  </w:style>
  <w:style w:type="paragraph" w:styleId="3">
    <w:name w:val="annotation text"/>
    <w:basedOn w:val="1"/>
    <w:link w:val="21"/>
    <w:qFormat/>
    <w:uiPriority w:val="0"/>
    <w:pPr>
      <w:jc w:val="left"/>
    </w:pPr>
  </w:style>
  <w:style w:type="paragraph" w:styleId="4">
    <w:name w:val="Body Text Indent"/>
    <w:basedOn w:val="1"/>
    <w:qFormat/>
    <w:uiPriority w:val="99"/>
    <w:pPr>
      <w:spacing w:after="120"/>
      <w:ind w:left="420" w:leftChars="200"/>
    </w:pPr>
  </w:style>
  <w:style w:type="paragraph" w:styleId="5">
    <w:name w:val="Balloon Text"/>
    <w:basedOn w:val="1"/>
    <w:link w:val="20"/>
    <w:qFormat/>
    <w:uiPriority w:val="0"/>
    <w:rPr>
      <w:sz w:val="18"/>
      <w:szCs w:val="18"/>
    </w:rPr>
  </w:style>
  <w:style w:type="paragraph" w:styleId="6">
    <w:name w:val="footer"/>
    <w:basedOn w:val="1"/>
    <w:link w:val="17"/>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3"/>
    <w:next w:val="3"/>
    <w:link w:val="22"/>
    <w:qFormat/>
    <w:uiPriority w:val="0"/>
    <w:rPr>
      <w:b/>
      <w:bCs/>
    </w:rPr>
  </w:style>
  <w:style w:type="paragraph" w:styleId="10">
    <w:name w:val="Body Text First Indent 2"/>
    <w:basedOn w:val="4"/>
    <w:next w:val="1"/>
    <w:qFormat/>
    <w:uiPriority w:val="99"/>
    <w:pPr>
      <w:spacing w:before="100" w:beforeAutospacing="1"/>
      <w:ind w:left="0" w:firstLine="420"/>
    </w:pPr>
  </w:style>
  <w:style w:type="character" w:styleId="13">
    <w:name w:val="Strong"/>
    <w:basedOn w:val="12"/>
    <w:qFormat/>
    <w:uiPriority w:val="22"/>
    <w:rPr>
      <w:b/>
      <w:bCs/>
    </w:rPr>
  </w:style>
  <w:style w:type="character" w:styleId="14">
    <w:name w:val="Emphasis"/>
    <w:basedOn w:val="12"/>
    <w:qFormat/>
    <w:uiPriority w:val="20"/>
    <w:rPr>
      <w:color w:val="F73131"/>
    </w:rPr>
  </w:style>
  <w:style w:type="character" w:styleId="15">
    <w:name w:val="annotation reference"/>
    <w:basedOn w:val="12"/>
    <w:qFormat/>
    <w:uiPriority w:val="0"/>
    <w:rPr>
      <w:sz w:val="21"/>
      <w:szCs w:val="21"/>
    </w:rPr>
  </w:style>
  <w:style w:type="character" w:customStyle="1" w:styleId="16">
    <w:name w:val="页眉 字符"/>
    <w:basedOn w:val="12"/>
    <w:link w:val="7"/>
    <w:qFormat/>
    <w:uiPriority w:val="99"/>
    <w:rPr>
      <w:sz w:val="18"/>
      <w:szCs w:val="18"/>
    </w:rPr>
  </w:style>
  <w:style w:type="character" w:customStyle="1" w:styleId="17">
    <w:name w:val="页脚 字符"/>
    <w:basedOn w:val="12"/>
    <w:link w:val="6"/>
    <w:qFormat/>
    <w:uiPriority w:val="99"/>
    <w:rPr>
      <w:sz w:val="18"/>
      <w:szCs w:val="18"/>
    </w:rPr>
  </w:style>
  <w:style w:type="character" w:customStyle="1" w:styleId="18">
    <w:name w:val="UserStyle_0"/>
    <w:qFormat/>
    <w:uiPriority w:val="99"/>
  </w:style>
  <w:style w:type="character" w:customStyle="1" w:styleId="19">
    <w:name w:val="NormalCharacter"/>
    <w:qFormat/>
    <w:uiPriority w:val="0"/>
  </w:style>
  <w:style w:type="character" w:customStyle="1" w:styleId="20">
    <w:name w:val="批注框文本 字符"/>
    <w:basedOn w:val="12"/>
    <w:link w:val="5"/>
    <w:qFormat/>
    <w:uiPriority w:val="0"/>
    <w:rPr>
      <w:rFonts w:ascii="方正仿宋_GBK" w:hAnsi="Times New Roman" w:eastAsia="方正仿宋_GBK"/>
      <w:kern w:val="32"/>
      <w:sz w:val="18"/>
      <w:szCs w:val="18"/>
    </w:rPr>
  </w:style>
  <w:style w:type="character" w:customStyle="1" w:styleId="21">
    <w:name w:val="批注文字 字符"/>
    <w:basedOn w:val="12"/>
    <w:link w:val="3"/>
    <w:qFormat/>
    <w:uiPriority w:val="0"/>
    <w:rPr>
      <w:rFonts w:ascii="方正仿宋_GBK" w:hAnsi="Times New Roman" w:eastAsia="方正仿宋_GBK"/>
      <w:kern w:val="32"/>
      <w:sz w:val="32"/>
      <w:szCs w:val="32"/>
    </w:rPr>
  </w:style>
  <w:style w:type="character" w:customStyle="1" w:styleId="22">
    <w:name w:val="批注主题 字符"/>
    <w:basedOn w:val="21"/>
    <w:link w:val="9"/>
    <w:qFormat/>
    <w:uiPriority w:val="0"/>
    <w:rPr>
      <w:rFonts w:ascii="方正仿宋_GBK" w:hAnsi="Times New Roman" w:eastAsia="方正仿宋_GBK"/>
      <w:b/>
      <w:bCs/>
      <w:kern w:val="32"/>
      <w:sz w:val="32"/>
      <w:szCs w:val="32"/>
    </w:rPr>
  </w:style>
  <w:style w:type="character" w:customStyle="1" w:styleId="23">
    <w:name w:val="content-right_8zs401"/>
    <w:basedOn w:val="12"/>
    <w:qFormat/>
    <w:uiPriority w:val="0"/>
  </w:style>
  <w:style w:type="paragraph" w:customStyle="1" w:styleId="24">
    <w:name w:val="段"/>
    <w:next w:val="1"/>
    <w:qFormat/>
    <w:uiPriority w:val="0"/>
    <w:pPr>
      <w:autoSpaceDE w:val="0"/>
      <w:autoSpaceDN w:val="0"/>
      <w:ind w:firstLine="200"/>
      <w:jc w:val="both"/>
    </w:pPr>
    <w:rPr>
      <w:rFonts w:ascii="宋体" w:hAnsi="Calibri" w:eastAsia="宋体" w:cs="Times New Roman"/>
      <w:sz w:val="21"/>
      <w:szCs w:val="22"/>
      <w:lang w:val="en-US" w:eastAsia="zh-CN" w:bidi="ar-SA"/>
    </w:rPr>
  </w:style>
  <w:style w:type="table" w:customStyle="1" w:styleId="25">
    <w:name w:val="Table Normal"/>
    <w:semiHidden/>
    <w:unhideWhenUsed/>
    <w:qFormat/>
    <w:uiPriority w:val="2"/>
    <w:rPr>
      <w:rFonts w:asciiTheme="minorHAnsi" w:hAnsiTheme="minorHAnsi" w:eastAsiaTheme="minorEastAsia" w:cstheme="minorBidi"/>
    </w:rPr>
    <w:tblPr>
      <w:tblCellMar>
        <w:top w:w="0" w:type="dxa"/>
        <w:left w:w="0" w:type="dxa"/>
        <w:bottom w:w="0" w:type="dxa"/>
        <w:right w:w="0" w:type="dxa"/>
      </w:tblCellMar>
    </w:tblPr>
  </w:style>
  <w:style w:type="paragraph" w:customStyle="1" w:styleId="26">
    <w:name w:val="标题 11"/>
    <w:basedOn w:val="1"/>
    <w:qFormat/>
    <w:uiPriority w:val="1"/>
    <w:pPr>
      <w:autoSpaceDE w:val="0"/>
      <w:autoSpaceDN w:val="0"/>
      <w:spacing w:before="215"/>
      <w:ind w:left="297"/>
      <w:jc w:val="left"/>
      <w:outlineLvl w:val="1"/>
    </w:pPr>
    <w:rPr>
      <w:rFonts w:ascii="方正小标宋_GBK" w:hAnsi="方正小标宋_GBK" w:eastAsia="方正小标宋_GBK" w:cs="方正小标宋_GBK"/>
      <w:kern w:val="0"/>
      <w:sz w:val="44"/>
      <w:szCs w:val="44"/>
      <w:lang w:eastAsia="en-US" w:bidi="en-US"/>
    </w:rPr>
  </w:style>
  <w:style w:type="paragraph" w:customStyle="1" w:styleId="27">
    <w:name w:val="Table Paragraph"/>
    <w:basedOn w:val="1"/>
    <w:qFormat/>
    <w:uiPriority w:val="99"/>
    <w:pPr>
      <w:autoSpaceDE w:val="0"/>
      <w:autoSpaceDN w:val="0"/>
      <w:jc w:val="left"/>
    </w:pPr>
    <w:rPr>
      <w:rFonts w:ascii="Arial Unicode MS" w:hAnsi="Arial Unicode MS" w:eastAsia="Arial Unicode MS" w:cs="Arial Unicode MS"/>
      <w:kern w:val="0"/>
      <w:sz w:val="22"/>
      <w:szCs w:val="22"/>
      <w:lang w:eastAsia="en-US" w:bidi="en-US"/>
    </w:rPr>
  </w:style>
  <w:style w:type="paragraph" w:customStyle="1" w:styleId="28">
    <w:name w:val="修订1"/>
    <w:hidden/>
    <w:semiHidden/>
    <w:qFormat/>
    <w:uiPriority w:val="99"/>
    <w:rPr>
      <w:rFonts w:ascii="方正仿宋_GBK" w:hAnsi="Times New Roman" w:eastAsia="方正仿宋_GBK" w:cs="Times New Roman"/>
      <w:kern w:val="32"/>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Micorosoft</Company>
  <Pages>17</Pages>
  <Words>8434</Words>
  <Characters>9010</Characters>
  <Lines>67</Lines>
  <Paragraphs>18</Paragraphs>
  <TotalTime>17</TotalTime>
  <ScaleCrop>false</ScaleCrop>
  <LinksUpToDate>false</LinksUpToDate>
  <CharactersWithSpaces>9010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2024-12-03T01:35:00Z</dcterms:created>
  <dc:creator>Lenovo</dc:creator>
  <cp:lastModifiedBy>GWX</cp:lastModifiedBy>
  <cp:lastPrinted>2025-01-03T12:59:00Z</cp:lastPrinted>
  <dcterms:modified xsi:type="dcterms:W3CDTF">2025-04-09T01:57:19Z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be736cf5860a44cd8ffe29421ac93cee</vt:lpwstr>
  </property>
  <property fmtid="{D5CDD505-2E9C-101B-9397-08002B2CF9AE}" pid="4" name="KSOTemplateDocerSaveRecord">
    <vt:lpwstr>eyJoZGlkIjoiYWFjOTEyMTA2YWEwOWM3NjhjNjE3MTExMGI4ZjViZTIiLCJ1c2VySWQiOiIyMDk3MzU3MjgifQ==</vt:lpwstr>
  </property>
</Properties>
</file>