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9DE50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ascii="方正小标宋_GBK" w:hAnsi="方正小标宋_GBK" w:eastAsia="方正小标宋_GBK" w:cs="方正小标宋_GBK"/>
          <w:color w:val="000000"/>
          <w:kern w:val="0"/>
          <w:sz w:val="44"/>
          <w:szCs w:val="44"/>
          <w:lang w:val="en-US" w:eastAsia="zh-CN" w:bidi="ar"/>
        </w:rPr>
      </w:pPr>
      <w:bookmarkStart w:id="0" w:name="_GoBack"/>
      <w:r>
        <w:rPr>
          <w:rFonts w:hint="default" w:ascii="Times New Roman" w:hAnsi="Times New Roman" w:eastAsia="宋体" w:cs="Times New Roman"/>
          <w:color w:val="000000"/>
          <w:kern w:val="0"/>
          <w:sz w:val="44"/>
          <w:szCs w:val="44"/>
          <w:lang w:val="en-US" w:eastAsia="zh-CN" w:bidi="ar"/>
        </w:rPr>
        <w:t>2</w:t>
      </w:r>
      <w:r>
        <w:rPr>
          <w:rFonts w:hint="eastAsia" w:ascii="Times New Roman" w:hAnsi="Times New Roman" w:eastAsia="宋体" w:cs="Times New Roman"/>
          <w:color w:val="000000"/>
          <w:kern w:val="0"/>
          <w:sz w:val="44"/>
          <w:szCs w:val="44"/>
          <w:lang w:val="en-US" w:eastAsia="zh-CN" w:bidi="ar"/>
        </w:rPr>
        <w:t>024</w:t>
      </w:r>
      <w:r>
        <w:rPr>
          <w:rFonts w:ascii="方正小标宋_GBK" w:hAnsi="方正小标宋_GBK" w:eastAsia="方正小标宋_GBK" w:cs="方正小标宋_GBK"/>
          <w:color w:val="000000"/>
          <w:kern w:val="0"/>
          <w:sz w:val="44"/>
          <w:szCs w:val="44"/>
          <w:lang w:val="en-US" w:eastAsia="zh-CN" w:bidi="ar"/>
        </w:rPr>
        <w:t>年江阴市</w:t>
      </w:r>
      <w:r>
        <w:rPr>
          <w:rFonts w:hint="eastAsia" w:ascii="方正小标宋_GBK" w:hAnsi="方正小标宋_GBK" w:eastAsia="方正小标宋_GBK" w:cs="方正小标宋_GBK"/>
          <w:color w:val="000000"/>
          <w:kern w:val="0"/>
          <w:sz w:val="44"/>
          <w:szCs w:val="44"/>
          <w:lang w:val="en-US" w:eastAsia="zh-CN" w:bidi="ar"/>
        </w:rPr>
        <w:t>现代农业科技发展、社会发展科技示范拟立项项目</w:t>
      </w:r>
      <w:r>
        <w:rPr>
          <w:rFonts w:ascii="方正小标宋_GBK" w:hAnsi="方正小标宋_GBK" w:eastAsia="方正小标宋_GBK" w:cs="方正小标宋_GBK"/>
          <w:color w:val="000000"/>
          <w:kern w:val="0"/>
          <w:sz w:val="44"/>
          <w:szCs w:val="44"/>
          <w:lang w:val="en-US" w:eastAsia="zh-CN" w:bidi="ar"/>
        </w:rPr>
        <w:t>公示</w:t>
      </w:r>
    </w:p>
    <w:bookmarkEnd w:id="0"/>
    <w:p w14:paraId="0E896ADD">
      <w:pPr>
        <w:ind w:firstLine="640" w:firstLineChars="200"/>
        <w:rPr>
          <w:rFonts w:ascii="方正仿宋_GBK" w:hAnsi="Times New Roman" w:eastAsia="方正仿宋_GBK" w:cs="Times New Roman"/>
          <w:color w:val="000000" w:themeColor="text1"/>
          <w:kern w:val="0"/>
          <w:sz w:val="32"/>
          <w:szCs w:val="30"/>
          <w14:textFill>
            <w14:solidFill>
              <w14:schemeClr w14:val="tx1"/>
            </w14:solidFill>
          </w14:textFill>
        </w:rPr>
      </w:pPr>
    </w:p>
    <w:p w14:paraId="130F5D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b w:val="0"/>
          <w:bCs w:val="0"/>
          <w:sz w:val="32"/>
          <w:szCs w:val="40"/>
          <w:lang w:val="en-US" w:eastAsia="zh-CN"/>
        </w:rPr>
      </w:pPr>
      <w:r>
        <w:rPr>
          <w:rFonts w:hint="eastAsia" w:ascii="方正仿宋_GBK" w:hAnsi="方正仿宋_GBK" w:eastAsia="方正仿宋_GBK" w:cs="方正仿宋_GBK"/>
          <w:b w:val="0"/>
          <w:bCs w:val="0"/>
          <w:sz w:val="32"/>
          <w:szCs w:val="40"/>
          <w:lang w:val="en-US" w:eastAsia="zh-CN"/>
        </w:rPr>
        <w:t>根据《关于加快建设全国有影响力的先进制造业科创中心的若干政策措施》（澄委发〔2023〕5号）、《江阴市科技创新专项资金管理实施细则》（澄科发办〔2023〕20号）等文件精神，现将2024年江阴市现代农业科技发展、社会发展科技示范拟立项项目名单予以公示，公示时间为2024年12月6日至12月12日。</w:t>
      </w:r>
    </w:p>
    <w:p w14:paraId="77757F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b w:val="0"/>
          <w:bCs w:val="0"/>
          <w:sz w:val="32"/>
          <w:szCs w:val="40"/>
          <w:lang w:val="en-US" w:eastAsia="zh-CN"/>
        </w:rPr>
      </w:pPr>
      <w:r>
        <w:rPr>
          <w:rFonts w:hint="eastAsia" w:ascii="方正仿宋_GBK" w:hAnsi="方正仿宋_GBK" w:eastAsia="方正仿宋_GBK" w:cs="方正仿宋_GBK"/>
          <w:b w:val="0"/>
          <w:bCs w:val="0"/>
          <w:sz w:val="32"/>
          <w:szCs w:val="40"/>
          <w:lang w:val="en-US" w:eastAsia="zh-CN"/>
        </w:rPr>
        <w:t>任何单位和个人如果对公示信息有异议，可在公示期内提出，并列举异议理由和必要的证明材料。为便于核实查证，个人提出异议的必须表明真实身份，单位提出异议的应加盖公章，请务必提供有效联系方式，否则不予受理。超出公示期限的异议不予受理。</w:t>
      </w:r>
    </w:p>
    <w:p w14:paraId="1CC98A0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b w:val="0"/>
          <w:bCs w:val="0"/>
          <w:sz w:val="32"/>
          <w:szCs w:val="40"/>
          <w:lang w:val="en-US" w:eastAsia="zh-CN"/>
        </w:rPr>
      </w:pPr>
      <w:r>
        <w:rPr>
          <w:rFonts w:hint="eastAsia" w:ascii="方正仿宋_GBK" w:hAnsi="方正仿宋_GBK" w:eastAsia="方正仿宋_GBK" w:cs="方正仿宋_GBK"/>
          <w:b w:val="0"/>
          <w:bCs w:val="0"/>
          <w:sz w:val="32"/>
          <w:szCs w:val="40"/>
          <w:lang w:val="en-US" w:eastAsia="zh-CN"/>
        </w:rPr>
        <w:t>    联系部门：江阴市科技局社发科</w:t>
      </w:r>
    </w:p>
    <w:p w14:paraId="2039915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b w:val="0"/>
          <w:bCs w:val="0"/>
          <w:sz w:val="32"/>
          <w:szCs w:val="40"/>
          <w:lang w:val="en-US" w:eastAsia="zh-CN"/>
        </w:rPr>
      </w:pPr>
      <w:r>
        <w:rPr>
          <w:rFonts w:hint="eastAsia" w:ascii="方正仿宋_GBK" w:hAnsi="方正仿宋_GBK" w:eastAsia="方正仿宋_GBK" w:cs="方正仿宋_GBK"/>
          <w:b w:val="0"/>
          <w:bCs w:val="0"/>
          <w:sz w:val="32"/>
          <w:szCs w:val="40"/>
          <w:lang w:val="en-US" w:eastAsia="zh-CN"/>
        </w:rPr>
        <w:t>    联系电话：怀梦迪  0510-86861551</w:t>
      </w:r>
    </w:p>
    <w:p w14:paraId="0693955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b w:val="0"/>
          <w:bCs w:val="0"/>
          <w:sz w:val="32"/>
          <w:szCs w:val="40"/>
          <w:lang w:val="en-US" w:eastAsia="zh-CN"/>
        </w:rPr>
      </w:pPr>
      <w:r>
        <w:rPr>
          <w:rFonts w:hint="eastAsia" w:ascii="方正仿宋_GBK" w:hAnsi="方正仿宋_GBK" w:eastAsia="方正仿宋_GBK" w:cs="方正仿宋_GBK"/>
          <w:b w:val="0"/>
          <w:bCs w:val="0"/>
          <w:sz w:val="32"/>
          <w:szCs w:val="40"/>
          <w:lang w:val="en-US" w:eastAsia="zh-CN"/>
        </w:rPr>
        <w:t>    联系地址：江阴市澄江中路9号市政大厦1551室</w:t>
      </w:r>
    </w:p>
    <w:p w14:paraId="62F62F1A">
      <w:pPr>
        <w:rPr>
          <w:rFonts w:hint="default" w:ascii="方正黑体_GBK" w:hAnsi="方正黑体_GBK" w:eastAsia="方正黑体_GBK" w:cs="方正黑体_GBK"/>
          <w:b w:val="0"/>
          <w:bCs w:val="0"/>
          <w:sz w:val="32"/>
          <w:szCs w:val="40"/>
          <w:lang w:val="en-US" w:eastAsia="zh-CN"/>
        </w:rPr>
      </w:pPr>
    </w:p>
    <w:p w14:paraId="6F5C1F40">
      <w:pPr>
        <w:keepNext w:val="0"/>
        <w:keepLines w:val="0"/>
        <w:pageBreakBefore w:val="0"/>
        <w:widowControl w:val="0"/>
        <w:kinsoku/>
        <w:wordWrap/>
        <w:overflowPunct/>
        <w:topLinePunct w:val="0"/>
        <w:autoSpaceDE/>
        <w:autoSpaceDN/>
        <w:bidi w:val="0"/>
        <w:adjustRightInd/>
        <w:snapToGrid/>
        <w:spacing w:line="560" w:lineRule="exact"/>
        <w:ind w:left="960" w:hanging="960" w:hangingChars="300"/>
        <w:textAlignment w:val="auto"/>
        <w:rPr>
          <w:rFonts w:hint="eastAsia" w:ascii="方正仿宋_GBK" w:hAnsi="方正仿宋_GBK" w:eastAsia="方正仿宋_GBK" w:cs="方正仿宋_GBK"/>
          <w:b w:val="0"/>
          <w:bCs w:val="0"/>
          <w:sz w:val="32"/>
          <w:szCs w:val="40"/>
          <w:lang w:val="en-US" w:eastAsia="zh-CN"/>
        </w:rPr>
      </w:pPr>
      <w:r>
        <w:rPr>
          <w:rFonts w:hint="eastAsia" w:ascii="方正仿宋_GBK" w:hAnsi="方正仿宋_GBK" w:eastAsia="方正仿宋_GBK" w:cs="方正仿宋_GBK"/>
          <w:b w:val="0"/>
          <w:bCs w:val="0"/>
          <w:sz w:val="32"/>
          <w:szCs w:val="40"/>
          <w:lang w:val="en-US" w:eastAsia="zh-CN"/>
        </w:rPr>
        <w:t>附件：2024年江阴市现代农业科技发展、社会发展科技示范拟立项项目公示</w:t>
      </w:r>
    </w:p>
    <w:p w14:paraId="7E245DAF">
      <w:pPr>
        <w:rPr>
          <w:rFonts w:hint="eastAsia" w:ascii="方正黑体_GBK" w:hAnsi="方正黑体_GBK" w:eastAsia="方正黑体_GBK" w:cs="方正黑体_GBK"/>
          <w:b w:val="0"/>
          <w:bCs w:val="0"/>
          <w:sz w:val="32"/>
          <w:szCs w:val="40"/>
          <w:lang w:val="en-US" w:eastAsia="zh-CN"/>
        </w:rPr>
      </w:pPr>
    </w:p>
    <w:p w14:paraId="049E7C90">
      <w:pPr>
        <w:rPr>
          <w:rFonts w:hint="eastAsia" w:ascii="方正黑体_GBK" w:hAnsi="方正黑体_GBK" w:eastAsia="方正黑体_GBK" w:cs="方正黑体_GBK"/>
          <w:b w:val="0"/>
          <w:bCs w:val="0"/>
          <w:sz w:val="32"/>
          <w:szCs w:val="40"/>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7690D91">
      <w:pPr>
        <w:rPr>
          <w:rFonts w:hint="default" w:ascii="方正黑体_GBK" w:hAnsi="方正黑体_GBK" w:eastAsia="方正黑体_GBK" w:cs="方正黑体_GBK"/>
          <w:b w:val="0"/>
          <w:bCs w:val="0"/>
          <w:sz w:val="32"/>
          <w:szCs w:val="40"/>
          <w:lang w:val="en-US" w:eastAsia="zh-CN"/>
        </w:rPr>
      </w:pPr>
      <w:r>
        <w:rPr>
          <w:rFonts w:hint="eastAsia" w:ascii="方正黑体_GBK" w:hAnsi="方正黑体_GBK" w:eastAsia="方正黑体_GBK" w:cs="方正黑体_GBK"/>
          <w:b w:val="0"/>
          <w:bCs w:val="0"/>
          <w:sz w:val="32"/>
          <w:szCs w:val="40"/>
          <w:lang w:val="en-US" w:eastAsia="zh-CN"/>
        </w:rPr>
        <w:t>附件</w:t>
      </w:r>
    </w:p>
    <w:p w14:paraId="33684004">
      <w:pPr>
        <w:ind w:left="0" w:leftChars="0" w:firstLine="0" w:firstLineChars="0"/>
        <w:jc w:val="center"/>
        <w:rPr>
          <w:rFonts w:hint="eastAsia" w:ascii="方正小标宋_GBK" w:hAnsi="方正小标宋_GBK" w:eastAsia="方正小标宋_GBK" w:cs="方正小标宋_GBK"/>
          <w:i w:val="0"/>
          <w:iCs w:val="0"/>
          <w:color w:val="000000"/>
          <w:kern w:val="0"/>
          <w:sz w:val="44"/>
          <w:szCs w:val="44"/>
          <w:u w:val="none"/>
          <w:vertAlign w:val="baseline"/>
          <w:lang w:val="en-US" w:eastAsia="zh-CN" w:bidi="ar"/>
        </w:rPr>
      </w:pPr>
      <w:r>
        <w:rPr>
          <w:rFonts w:hint="eastAsia" w:ascii="方正小标宋_GBK" w:hAnsi="方正小标宋_GBK" w:eastAsia="方正小标宋_GBK" w:cs="方正小标宋_GBK"/>
          <w:i w:val="0"/>
          <w:iCs w:val="0"/>
          <w:color w:val="000000"/>
          <w:kern w:val="0"/>
          <w:sz w:val="44"/>
          <w:szCs w:val="44"/>
          <w:u w:val="none"/>
          <w:lang w:val="en-US" w:eastAsia="zh-CN" w:bidi="ar"/>
        </w:rPr>
        <w:t>2024年江阴市现代农业科技发展、社会发展科技示范拟立项项目公示</w:t>
      </w:r>
    </w:p>
    <w:tbl>
      <w:tblPr>
        <w:tblStyle w:val="4"/>
        <w:tblW w:w="52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6"/>
        <w:gridCol w:w="8700"/>
        <w:gridCol w:w="3900"/>
        <w:gridCol w:w="1425"/>
      </w:tblGrid>
      <w:tr w14:paraId="53C722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716" w:type="dxa"/>
            <w:tcBorders>
              <w:tl2br w:val="nil"/>
              <w:tr2bl w:val="nil"/>
            </w:tcBorders>
            <w:vAlign w:val="center"/>
          </w:tcPr>
          <w:p w14:paraId="36884C3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方正小标宋_GBK" w:hAnsi="方正小标宋_GBK" w:eastAsia="方正小标宋_GBK" w:cs="方正小标宋_GBK"/>
                <w:i w:val="0"/>
                <w:iCs w:val="0"/>
                <w:color w:val="000000"/>
                <w:kern w:val="0"/>
                <w:sz w:val="36"/>
                <w:szCs w:val="36"/>
                <w:u w:val="none"/>
                <w:vertAlign w:val="baseli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序号</w:t>
            </w:r>
          </w:p>
        </w:tc>
        <w:tc>
          <w:tcPr>
            <w:tcW w:w="8700" w:type="dxa"/>
            <w:tcBorders>
              <w:tl2br w:val="nil"/>
              <w:tr2bl w:val="nil"/>
            </w:tcBorders>
            <w:vAlign w:val="center"/>
          </w:tcPr>
          <w:p w14:paraId="7EAB0C7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方正小标宋_GBK" w:hAnsi="方正小标宋_GBK" w:eastAsia="方正小标宋_GBK" w:cs="方正小标宋_GBK"/>
                <w:i w:val="0"/>
                <w:iCs w:val="0"/>
                <w:color w:val="000000"/>
                <w:kern w:val="0"/>
                <w:sz w:val="36"/>
                <w:szCs w:val="36"/>
                <w:u w:val="none"/>
                <w:vertAlign w:val="baseli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项目名称</w:t>
            </w:r>
          </w:p>
        </w:tc>
        <w:tc>
          <w:tcPr>
            <w:tcW w:w="3900" w:type="dxa"/>
            <w:tcBorders>
              <w:tl2br w:val="nil"/>
              <w:tr2bl w:val="nil"/>
            </w:tcBorders>
            <w:vAlign w:val="center"/>
          </w:tcPr>
          <w:p w14:paraId="267FC88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方正黑体_GBK" w:hAnsi="方正黑体_GBK" w:eastAsia="方正黑体_GBK" w:cs="方正黑体_GBK"/>
                <w:i w:val="0"/>
                <w:iCs w:val="0"/>
                <w:color w:val="000000"/>
                <w:kern w:val="0"/>
                <w:sz w:val="24"/>
                <w:szCs w:val="24"/>
                <w:u w:val="no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申报单位</w:t>
            </w:r>
          </w:p>
        </w:tc>
        <w:tc>
          <w:tcPr>
            <w:tcW w:w="1425" w:type="dxa"/>
            <w:tcBorders>
              <w:tl2br w:val="nil"/>
              <w:tr2bl w:val="nil"/>
            </w:tcBorders>
            <w:vAlign w:val="center"/>
          </w:tcPr>
          <w:p w14:paraId="75D539C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方正小标宋_GBK" w:hAnsi="方正小标宋_GBK" w:eastAsia="方正小标宋_GBK" w:cs="方正小标宋_GBK"/>
                <w:i w:val="0"/>
                <w:iCs w:val="0"/>
                <w:color w:val="000000"/>
                <w:kern w:val="0"/>
                <w:sz w:val="36"/>
                <w:szCs w:val="36"/>
                <w:u w:val="none"/>
                <w:vertAlign w:val="baseli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所在地</w:t>
            </w:r>
          </w:p>
        </w:tc>
      </w:tr>
      <w:tr w14:paraId="4C893E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6" w:hRule="atLeast"/>
          <w:tblHeader/>
          <w:jc w:val="center"/>
        </w:trPr>
        <w:tc>
          <w:tcPr>
            <w:tcW w:w="14741" w:type="dxa"/>
            <w:gridSpan w:val="4"/>
            <w:tcBorders>
              <w:tl2br w:val="nil"/>
              <w:tr2bl w:val="nil"/>
            </w:tcBorders>
            <w:vAlign w:val="center"/>
          </w:tcPr>
          <w:p w14:paraId="0E77A27F">
            <w:pPr>
              <w:keepNext w:val="0"/>
              <w:keepLines w:val="0"/>
              <w:pageBreakBefore w:val="0"/>
              <w:widowControl/>
              <w:suppressLineNumbers w:val="0"/>
              <w:kinsoku/>
              <w:wordWrap/>
              <w:overflowPunct/>
              <w:topLinePunct w:val="0"/>
              <w:autoSpaceDE/>
              <w:autoSpaceDN/>
              <w:bidi w:val="0"/>
              <w:adjustRightInd/>
              <w:snapToGrid w:val="0"/>
              <w:spacing w:line="560" w:lineRule="exact"/>
              <w:jc w:val="center"/>
              <w:textAlignment w:val="center"/>
              <w:rPr>
                <w:rFonts w:hint="eastAsia" w:ascii="方正黑体_GBK" w:hAnsi="方正黑体_GBK" w:eastAsia="方正黑体_GBK" w:cs="方正黑体_GBK"/>
                <w:i w:val="0"/>
                <w:iCs w:val="0"/>
                <w:color w:val="000000"/>
                <w:kern w:val="0"/>
                <w:sz w:val="24"/>
                <w:szCs w:val="24"/>
                <w:u w:val="no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（一）现代农业科技发展</w:t>
            </w:r>
          </w:p>
        </w:tc>
      </w:tr>
      <w:tr w14:paraId="531268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3EBDB325">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w:t>
            </w:r>
          </w:p>
        </w:tc>
        <w:tc>
          <w:tcPr>
            <w:tcW w:w="8700" w:type="dxa"/>
            <w:tcBorders>
              <w:tl2br w:val="nil"/>
              <w:tr2bl w:val="nil"/>
            </w:tcBorders>
            <w:vAlign w:val="center"/>
          </w:tcPr>
          <w:p w14:paraId="3165397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猪圆环病毒2型、猪肺炎支原体二联灭活疫苗（OKM株+HuB083株）的研发</w:t>
            </w:r>
          </w:p>
        </w:tc>
        <w:tc>
          <w:tcPr>
            <w:tcW w:w="3900" w:type="dxa"/>
            <w:tcBorders>
              <w:tl2br w:val="nil"/>
              <w:tr2bl w:val="nil"/>
            </w:tcBorders>
            <w:vAlign w:val="center"/>
          </w:tcPr>
          <w:p w14:paraId="09F0C29D">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江苏南农高科技股份有限公司</w:t>
            </w:r>
          </w:p>
        </w:tc>
        <w:tc>
          <w:tcPr>
            <w:tcW w:w="1425" w:type="dxa"/>
            <w:tcBorders>
              <w:tl2br w:val="nil"/>
              <w:tr2bl w:val="nil"/>
            </w:tcBorders>
            <w:vAlign w:val="center"/>
          </w:tcPr>
          <w:p w14:paraId="7A9D32FB">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南闸街道</w:t>
            </w:r>
          </w:p>
        </w:tc>
      </w:tr>
      <w:tr w14:paraId="37D718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3D7F0502">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2</w:t>
            </w:r>
          </w:p>
        </w:tc>
        <w:tc>
          <w:tcPr>
            <w:tcW w:w="8700" w:type="dxa"/>
            <w:tcBorders>
              <w:tl2br w:val="nil"/>
              <w:tr2bl w:val="nil"/>
            </w:tcBorders>
            <w:vAlign w:val="center"/>
          </w:tcPr>
          <w:p w14:paraId="05C1906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苏威1号肉鸽规模化生态养殖及智能化管理技术</w:t>
            </w:r>
          </w:p>
        </w:tc>
        <w:tc>
          <w:tcPr>
            <w:tcW w:w="3900" w:type="dxa"/>
            <w:tcBorders>
              <w:tl2br w:val="nil"/>
              <w:tr2bl w:val="nil"/>
            </w:tcBorders>
            <w:vAlign w:val="center"/>
          </w:tcPr>
          <w:p w14:paraId="6ABEE11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江苏威特凯鸽业有限公司</w:t>
            </w:r>
          </w:p>
        </w:tc>
        <w:tc>
          <w:tcPr>
            <w:tcW w:w="1425" w:type="dxa"/>
            <w:tcBorders>
              <w:tl2br w:val="nil"/>
              <w:tr2bl w:val="nil"/>
            </w:tcBorders>
            <w:vAlign w:val="center"/>
          </w:tcPr>
          <w:p w14:paraId="6331444F">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祝塘镇</w:t>
            </w:r>
          </w:p>
        </w:tc>
      </w:tr>
      <w:tr w14:paraId="3EBE61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3231BDFE">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3</w:t>
            </w:r>
          </w:p>
        </w:tc>
        <w:tc>
          <w:tcPr>
            <w:tcW w:w="8700" w:type="dxa"/>
            <w:tcBorders>
              <w:tl2br w:val="nil"/>
              <w:tr2bl w:val="nil"/>
            </w:tcBorders>
            <w:vAlign w:val="center"/>
          </w:tcPr>
          <w:p w14:paraId="21817B6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冷冻烘焙食品精深加工技术研究及营养健康食品创制</w:t>
            </w:r>
          </w:p>
        </w:tc>
        <w:tc>
          <w:tcPr>
            <w:tcW w:w="3900" w:type="dxa"/>
            <w:tcBorders>
              <w:tl2br w:val="nil"/>
              <w:tr2bl w:val="nil"/>
            </w:tcBorders>
            <w:vAlign w:val="center"/>
          </w:tcPr>
          <w:p w14:paraId="438FD4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江阴华联谷之田食品科技有限公司</w:t>
            </w:r>
          </w:p>
        </w:tc>
        <w:tc>
          <w:tcPr>
            <w:tcW w:w="1425" w:type="dxa"/>
            <w:tcBorders>
              <w:tl2br w:val="nil"/>
              <w:tr2bl w:val="nil"/>
            </w:tcBorders>
            <w:vAlign w:val="center"/>
          </w:tcPr>
          <w:p w14:paraId="4C1782D4">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临港开发区</w:t>
            </w:r>
          </w:p>
        </w:tc>
      </w:tr>
      <w:tr w14:paraId="0592A3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40ECFCD7">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4</w:t>
            </w:r>
          </w:p>
        </w:tc>
        <w:tc>
          <w:tcPr>
            <w:tcW w:w="8700" w:type="dxa"/>
            <w:tcBorders>
              <w:tl2br w:val="nil"/>
              <w:tr2bl w:val="nil"/>
            </w:tcBorders>
            <w:vAlign w:val="center"/>
          </w:tcPr>
          <w:p w14:paraId="2EB0410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冷藏膳食精深加工技术研究及营养健康食品创制</w:t>
            </w:r>
          </w:p>
        </w:tc>
        <w:tc>
          <w:tcPr>
            <w:tcW w:w="3900" w:type="dxa"/>
            <w:tcBorders>
              <w:tl2br w:val="nil"/>
              <w:tr2bl w:val="nil"/>
            </w:tcBorders>
            <w:vAlign w:val="center"/>
          </w:tcPr>
          <w:p w14:paraId="1BCC5ED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江苏佳之家食品科技有限公司</w:t>
            </w:r>
          </w:p>
        </w:tc>
        <w:tc>
          <w:tcPr>
            <w:tcW w:w="1425" w:type="dxa"/>
            <w:tcBorders>
              <w:tl2br w:val="nil"/>
              <w:tr2bl w:val="nil"/>
            </w:tcBorders>
            <w:vAlign w:val="center"/>
          </w:tcPr>
          <w:p w14:paraId="2FD05656">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临港开发区</w:t>
            </w:r>
          </w:p>
        </w:tc>
      </w:tr>
      <w:tr w14:paraId="01677D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5F9E2BA7">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5</w:t>
            </w:r>
          </w:p>
        </w:tc>
        <w:tc>
          <w:tcPr>
            <w:tcW w:w="8700" w:type="dxa"/>
            <w:tcBorders>
              <w:tl2br w:val="nil"/>
              <w:tr2bl w:val="nil"/>
            </w:tcBorders>
            <w:vAlign w:val="center"/>
          </w:tcPr>
          <w:p w14:paraId="09B64949">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设施西瓜土壤盐渍化绿色高效栽培集成技术创新</w:t>
            </w:r>
          </w:p>
        </w:tc>
        <w:tc>
          <w:tcPr>
            <w:tcW w:w="3900" w:type="dxa"/>
            <w:tcBorders>
              <w:tl2br w:val="nil"/>
              <w:tr2bl w:val="nil"/>
            </w:tcBorders>
            <w:vAlign w:val="center"/>
          </w:tcPr>
          <w:p w14:paraId="74900374">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江阴观山门农业科技发展有限公司</w:t>
            </w:r>
          </w:p>
        </w:tc>
        <w:tc>
          <w:tcPr>
            <w:tcW w:w="1425" w:type="dxa"/>
            <w:tcBorders>
              <w:tl2br w:val="nil"/>
              <w:tr2bl w:val="nil"/>
            </w:tcBorders>
            <w:vAlign w:val="center"/>
          </w:tcPr>
          <w:p w14:paraId="0EA69AB2">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南闸街道</w:t>
            </w:r>
          </w:p>
        </w:tc>
      </w:tr>
      <w:tr w14:paraId="164D74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 w:hRule="exact"/>
          <w:jc w:val="center"/>
        </w:trPr>
        <w:tc>
          <w:tcPr>
            <w:tcW w:w="14741" w:type="dxa"/>
            <w:gridSpan w:val="4"/>
            <w:tcBorders>
              <w:tl2br w:val="nil"/>
              <w:tr2bl w:val="nil"/>
            </w:tcBorders>
            <w:vAlign w:val="center"/>
          </w:tcPr>
          <w:p w14:paraId="0466382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（二）社会发展科技示范</w:t>
            </w:r>
          </w:p>
        </w:tc>
      </w:tr>
      <w:tr w14:paraId="6228D0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27F8CE72">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6</w:t>
            </w:r>
          </w:p>
        </w:tc>
        <w:tc>
          <w:tcPr>
            <w:tcW w:w="8700" w:type="dxa"/>
            <w:tcBorders>
              <w:tl2br w:val="nil"/>
              <w:tr2bl w:val="nil"/>
            </w:tcBorders>
            <w:vAlign w:val="center"/>
          </w:tcPr>
          <w:p w14:paraId="4FD91D8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髓核细胞衰老加速椎间盘退变的机制研究</w:t>
            </w:r>
          </w:p>
        </w:tc>
        <w:tc>
          <w:tcPr>
            <w:tcW w:w="3900" w:type="dxa"/>
            <w:tcBorders>
              <w:tl2br w:val="nil"/>
              <w:tr2bl w:val="nil"/>
            </w:tcBorders>
            <w:vAlign w:val="center"/>
          </w:tcPr>
          <w:p w14:paraId="6681CBF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江阴市中医院</w:t>
            </w:r>
          </w:p>
        </w:tc>
        <w:tc>
          <w:tcPr>
            <w:tcW w:w="1425" w:type="dxa"/>
            <w:tcBorders>
              <w:tl2br w:val="nil"/>
              <w:tr2bl w:val="nil"/>
            </w:tcBorders>
            <w:vAlign w:val="center"/>
          </w:tcPr>
          <w:p w14:paraId="355CBE27">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279543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0284D24F">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7</w:t>
            </w:r>
          </w:p>
        </w:tc>
        <w:tc>
          <w:tcPr>
            <w:tcW w:w="8700" w:type="dxa"/>
            <w:tcBorders>
              <w:tl2br w:val="nil"/>
              <w:tr2bl w:val="nil"/>
            </w:tcBorders>
            <w:vAlign w:val="center"/>
          </w:tcPr>
          <w:p w14:paraId="66FBB40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危险性消化道出血综合急救模式的建立及在基层医院的应用研究</w:t>
            </w:r>
          </w:p>
        </w:tc>
        <w:tc>
          <w:tcPr>
            <w:tcW w:w="3900" w:type="dxa"/>
            <w:tcBorders>
              <w:tl2br w:val="nil"/>
              <w:tr2bl w:val="nil"/>
            </w:tcBorders>
            <w:vAlign w:val="center"/>
          </w:tcPr>
          <w:p w14:paraId="5DC4E21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江阴市人民医院</w:t>
            </w:r>
          </w:p>
        </w:tc>
        <w:tc>
          <w:tcPr>
            <w:tcW w:w="1425" w:type="dxa"/>
            <w:tcBorders>
              <w:tl2br w:val="nil"/>
              <w:tr2bl w:val="nil"/>
            </w:tcBorders>
            <w:vAlign w:val="center"/>
          </w:tcPr>
          <w:p w14:paraId="05F20F80">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6F9D03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0145D61E">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8</w:t>
            </w:r>
          </w:p>
        </w:tc>
        <w:tc>
          <w:tcPr>
            <w:tcW w:w="8700" w:type="dxa"/>
            <w:tcBorders>
              <w:tl2br w:val="nil"/>
              <w:tr2bl w:val="nil"/>
            </w:tcBorders>
            <w:vAlign w:val="center"/>
          </w:tcPr>
          <w:p w14:paraId="6CFF00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纳米生物传感器用于食源性疾病的现场快速诊断</w:t>
            </w:r>
          </w:p>
        </w:tc>
        <w:tc>
          <w:tcPr>
            <w:tcW w:w="3900" w:type="dxa"/>
            <w:tcBorders>
              <w:tl2br w:val="nil"/>
              <w:tr2bl w:val="nil"/>
            </w:tcBorders>
            <w:vAlign w:val="center"/>
          </w:tcPr>
          <w:p w14:paraId="25D14F9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江阴市疾病预防控制中心</w:t>
            </w:r>
          </w:p>
        </w:tc>
        <w:tc>
          <w:tcPr>
            <w:tcW w:w="1425" w:type="dxa"/>
            <w:tcBorders>
              <w:tl2br w:val="nil"/>
              <w:tr2bl w:val="nil"/>
            </w:tcBorders>
            <w:vAlign w:val="center"/>
          </w:tcPr>
          <w:p w14:paraId="3AA03B8C">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2DF7FA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2622E72A">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9</w:t>
            </w:r>
          </w:p>
        </w:tc>
        <w:tc>
          <w:tcPr>
            <w:tcW w:w="8700" w:type="dxa"/>
            <w:tcBorders>
              <w:tl2br w:val="nil"/>
              <w:tr2bl w:val="nil"/>
            </w:tcBorders>
            <w:vAlign w:val="center"/>
          </w:tcPr>
          <w:p w14:paraId="5AEE30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基于循证实践的胸腔镜下肺部手术患者急性疼痛管理方案的构建与应用研究</w:t>
            </w:r>
          </w:p>
        </w:tc>
        <w:tc>
          <w:tcPr>
            <w:tcW w:w="3900" w:type="dxa"/>
            <w:tcBorders>
              <w:tl2br w:val="nil"/>
              <w:tr2bl w:val="nil"/>
            </w:tcBorders>
            <w:vAlign w:val="center"/>
          </w:tcPr>
          <w:p w14:paraId="55137BC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江阴市人民医院</w:t>
            </w:r>
          </w:p>
        </w:tc>
        <w:tc>
          <w:tcPr>
            <w:tcW w:w="1425" w:type="dxa"/>
            <w:tcBorders>
              <w:tl2br w:val="nil"/>
              <w:tr2bl w:val="nil"/>
            </w:tcBorders>
            <w:vAlign w:val="center"/>
          </w:tcPr>
          <w:p w14:paraId="6715A993">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1F1F7B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781F0719">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10</w:t>
            </w:r>
          </w:p>
        </w:tc>
        <w:tc>
          <w:tcPr>
            <w:tcW w:w="8700" w:type="dxa"/>
            <w:tcBorders>
              <w:tl2br w:val="nil"/>
              <w:tr2bl w:val="nil"/>
            </w:tcBorders>
            <w:vAlign w:val="center"/>
          </w:tcPr>
          <w:p w14:paraId="4D5E29E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基于面动脉穿支血供的“风筝”皮瓣用于鼻及鼻周软组织缺损修复的研究</w:t>
            </w:r>
          </w:p>
        </w:tc>
        <w:tc>
          <w:tcPr>
            <w:tcW w:w="3900" w:type="dxa"/>
            <w:tcBorders>
              <w:tl2br w:val="nil"/>
              <w:tr2bl w:val="nil"/>
            </w:tcBorders>
            <w:vAlign w:val="center"/>
          </w:tcPr>
          <w:p w14:paraId="1BA3FF1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江阴市人民医院</w:t>
            </w:r>
          </w:p>
        </w:tc>
        <w:tc>
          <w:tcPr>
            <w:tcW w:w="1425" w:type="dxa"/>
            <w:tcBorders>
              <w:tl2br w:val="nil"/>
              <w:tr2bl w:val="nil"/>
            </w:tcBorders>
            <w:vAlign w:val="center"/>
          </w:tcPr>
          <w:p w14:paraId="07898F76">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2CA842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shd w:val="clear" w:color="auto" w:fill="auto"/>
            <w:vAlign w:val="center"/>
          </w:tcPr>
          <w:p w14:paraId="321C3D9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方正黑体_GBK" w:hAnsi="方正黑体_GBK" w:eastAsia="方正黑体_GBK" w:cs="方正黑体_GBK"/>
                <w:i w:val="0"/>
                <w:iCs w:val="0"/>
                <w:color w:val="000000"/>
                <w:kern w:val="0"/>
                <w:sz w:val="24"/>
                <w:szCs w:val="24"/>
                <w:u w:val="no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序号</w:t>
            </w:r>
          </w:p>
        </w:tc>
        <w:tc>
          <w:tcPr>
            <w:tcW w:w="8700" w:type="dxa"/>
            <w:tcBorders>
              <w:tl2br w:val="nil"/>
              <w:tr2bl w:val="nil"/>
            </w:tcBorders>
            <w:shd w:val="clear" w:color="auto" w:fill="auto"/>
            <w:vAlign w:val="center"/>
          </w:tcPr>
          <w:p w14:paraId="2A4FD94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方正黑体_GBK" w:hAnsi="方正黑体_GBK" w:eastAsia="方正黑体_GBK" w:cs="方正黑体_GBK"/>
                <w:i w:val="0"/>
                <w:iCs w:val="0"/>
                <w:color w:val="000000"/>
                <w:kern w:val="0"/>
                <w:sz w:val="24"/>
                <w:szCs w:val="24"/>
                <w:u w:val="no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项目名称</w:t>
            </w:r>
          </w:p>
        </w:tc>
        <w:tc>
          <w:tcPr>
            <w:tcW w:w="3900" w:type="dxa"/>
            <w:tcBorders>
              <w:tl2br w:val="nil"/>
              <w:tr2bl w:val="nil"/>
            </w:tcBorders>
            <w:shd w:val="clear" w:color="auto" w:fill="auto"/>
            <w:vAlign w:val="center"/>
          </w:tcPr>
          <w:p w14:paraId="2599A92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方正黑体_GBK" w:hAnsi="方正黑体_GBK" w:eastAsia="方正黑体_GBK" w:cs="方正黑体_GBK"/>
                <w:i w:val="0"/>
                <w:iCs w:val="0"/>
                <w:color w:val="000000"/>
                <w:kern w:val="0"/>
                <w:sz w:val="24"/>
                <w:szCs w:val="24"/>
                <w:u w:val="no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申报单位</w:t>
            </w:r>
          </w:p>
        </w:tc>
        <w:tc>
          <w:tcPr>
            <w:tcW w:w="1425" w:type="dxa"/>
            <w:tcBorders>
              <w:tl2br w:val="nil"/>
              <w:tr2bl w:val="nil"/>
            </w:tcBorders>
            <w:shd w:val="clear" w:color="auto" w:fill="auto"/>
            <w:vAlign w:val="center"/>
          </w:tcPr>
          <w:p w14:paraId="2C1F790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方正黑体_GBK" w:hAnsi="方正黑体_GBK" w:eastAsia="方正黑体_GBK" w:cs="方正黑体_GBK"/>
                <w:i w:val="0"/>
                <w:iCs w:val="0"/>
                <w:color w:val="000000"/>
                <w:kern w:val="0"/>
                <w:sz w:val="24"/>
                <w:szCs w:val="24"/>
                <w:u w:val="no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所在地</w:t>
            </w:r>
          </w:p>
        </w:tc>
      </w:tr>
      <w:tr w14:paraId="5BB2DE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6E951352">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11</w:t>
            </w:r>
          </w:p>
        </w:tc>
        <w:tc>
          <w:tcPr>
            <w:tcW w:w="8700" w:type="dxa"/>
            <w:tcBorders>
              <w:tl2br w:val="nil"/>
              <w:tr2bl w:val="nil"/>
            </w:tcBorders>
            <w:vAlign w:val="center"/>
          </w:tcPr>
          <w:p w14:paraId="7BE643F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胆汁酸代谢物调控气道上皮间质转化在儿童肥胖型哮喘中的机制探讨</w:t>
            </w:r>
          </w:p>
        </w:tc>
        <w:tc>
          <w:tcPr>
            <w:tcW w:w="3900" w:type="dxa"/>
            <w:tcBorders>
              <w:tl2br w:val="nil"/>
              <w:tr2bl w:val="nil"/>
            </w:tcBorders>
            <w:vAlign w:val="center"/>
          </w:tcPr>
          <w:p w14:paraId="6499991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江阴市人民医院</w:t>
            </w:r>
          </w:p>
        </w:tc>
        <w:tc>
          <w:tcPr>
            <w:tcW w:w="1425" w:type="dxa"/>
            <w:tcBorders>
              <w:tl2br w:val="nil"/>
              <w:tr2bl w:val="nil"/>
            </w:tcBorders>
            <w:vAlign w:val="center"/>
          </w:tcPr>
          <w:p w14:paraId="47BAEEDC">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6D2333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1528FBEB">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12</w:t>
            </w:r>
          </w:p>
        </w:tc>
        <w:tc>
          <w:tcPr>
            <w:tcW w:w="8700" w:type="dxa"/>
            <w:tcBorders>
              <w:tl2br w:val="nil"/>
              <w:tr2bl w:val="nil"/>
            </w:tcBorders>
            <w:vAlign w:val="center"/>
          </w:tcPr>
          <w:p w14:paraId="50D5E35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渗透树脂与Nd-YAG激光照射对于正畸釉质脱矿的疗效研究</w:t>
            </w:r>
          </w:p>
        </w:tc>
        <w:tc>
          <w:tcPr>
            <w:tcW w:w="3900" w:type="dxa"/>
            <w:tcBorders>
              <w:tl2br w:val="nil"/>
              <w:tr2bl w:val="nil"/>
            </w:tcBorders>
            <w:vAlign w:val="center"/>
          </w:tcPr>
          <w:p w14:paraId="31C956B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江阴口腔医院</w:t>
            </w:r>
          </w:p>
        </w:tc>
        <w:tc>
          <w:tcPr>
            <w:tcW w:w="1425" w:type="dxa"/>
            <w:tcBorders>
              <w:tl2br w:val="nil"/>
              <w:tr2bl w:val="nil"/>
            </w:tcBorders>
            <w:vAlign w:val="center"/>
          </w:tcPr>
          <w:p w14:paraId="2DAD756E">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10F909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5FC4E39F">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13</w:t>
            </w:r>
          </w:p>
        </w:tc>
        <w:tc>
          <w:tcPr>
            <w:tcW w:w="8700" w:type="dxa"/>
            <w:tcBorders>
              <w:tl2br w:val="nil"/>
              <w:tr2bl w:val="nil"/>
            </w:tcBorders>
            <w:vAlign w:val="center"/>
          </w:tcPr>
          <w:p w14:paraId="7B3B825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ESRRA基因对NK细胞发育、成熟以及抗肿瘤免疫效应的机制研究</w:t>
            </w:r>
          </w:p>
        </w:tc>
        <w:tc>
          <w:tcPr>
            <w:tcW w:w="3900" w:type="dxa"/>
            <w:tcBorders>
              <w:tl2br w:val="nil"/>
              <w:tr2bl w:val="nil"/>
            </w:tcBorders>
            <w:vAlign w:val="center"/>
          </w:tcPr>
          <w:p w14:paraId="200EC12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江阴市人民医院</w:t>
            </w:r>
          </w:p>
        </w:tc>
        <w:tc>
          <w:tcPr>
            <w:tcW w:w="1425" w:type="dxa"/>
            <w:tcBorders>
              <w:tl2br w:val="nil"/>
              <w:tr2bl w:val="nil"/>
            </w:tcBorders>
            <w:vAlign w:val="center"/>
          </w:tcPr>
          <w:p w14:paraId="4D864030">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658E81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2F796193">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14</w:t>
            </w:r>
          </w:p>
        </w:tc>
        <w:tc>
          <w:tcPr>
            <w:tcW w:w="8700" w:type="dxa"/>
            <w:tcBorders>
              <w:tl2br w:val="nil"/>
              <w:tr2bl w:val="nil"/>
            </w:tcBorders>
            <w:vAlign w:val="center"/>
          </w:tcPr>
          <w:p w14:paraId="4F20874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基于机器学习眼干燥综合征发生风险预测模型的构建及验证</w:t>
            </w:r>
          </w:p>
        </w:tc>
        <w:tc>
          <w:tcPr>
            <w:tcW w:w="3900" w:type="dxa"/>
            <w:tcBorders>
              <w:tl2br w:val="nil"/>
              <w:tr2bl w:val="nil"/>
            </w:tcBorders>
            <w:vAlign w:val="center"/>
          </w:tcPr>
          <w:p w14:paraId="1373BC6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江阴市人民医院</w:t>
            </w:r>
          </w:p>
        </w:tc>
        <w:tc>
          <w:tcPr>
            <w:tcW w:w="1425" w:type="dxa"/>
            <w:tcBorders>
              <w:tl2br w:val="nil"/>
              <w:tr2bl w:val="nil"/>
            </w:tcBorders>
            <w:vAlign w:val="center"/>
          </w:tcPr>
          <w:p w14:paraId="3616EF6D">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645113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27C90F6A">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15</w:t>
            </w:r>
          </w:p>
        </w:tc>
        <w:tc>
          <w:tcPr>
            <w:tcW w:w="8700" w:type="dxa"/>
            <w:tcBorders>
              <w:tl2br w:val="nil"/>
              <w:tr2bl w:val="nil"/>
            </w:tcBorders>
            <w:vAlign w:val="center"/>
          </w:tcPr>
          <w:p w14:paraId="082997F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CT引导下精准神经阻滞治疗腰椎间盘突出症的临床疗效及安全性分析</w:t>
            </w:r>
          </w:p>
        </w:tc>
        <w:tc>
          <w:tcPr>
            <w:tcW w:w="3900" w:type="dxa"/>
            <w:tcBorders>
              <w:tl2br w:val="nil"/>
              <w:tr2bl w:val="nil"/>
            </w:tcBorders>
            <w:vAlign w:val="center"/>
          </w:tcPr>
          <w:p w14:paraId="375084D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江阴市中医院</w:t>
            </w:r>
          </w:p>
        </w:tc>
        <w:tc>
          <w:tcPr>
            <w:tcW w:w="1425" w:type="dxa"/>
            <w:tcBorders>
              <w:tl2br w:val="nil"/>
              <w:tr2bl w:val="nil"/>
            </w:tcBorders>
            <w:vAlign w:val="center"/>
          </w:tcPr>
          <w:p w14:paraId="568C0A26">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389B69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exact"/>
          <w:jc w:val="center"/>
        </w:trPr>
        <w:tc>
          <w:tcPr>
            <w:tcW w:w="716" w:type="dxa"/>
            <w:tcBorders>
              <w:tl2br w:val="nil"/>
              <w:tr2bl w:val="nil"/>
            </w:tcBorders>
            <w:vAlign w:val="center"/>
          </w:tcPr>
          <w:p w14:paraId="6BA6EFB1">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16</w:t>
            </w:r>
          </w:p>
        </w:tc>
        <w:tc>
          <w:tcPr>
            <w:tcW w:w="8700" w:type="dxa"/>
            <w:tcBorders>
              <w:tl2br w:val="nil"/>
              <w:tr2bl w:val="nil"/>
            </w:tcBorders>
            <w:vAlign w:val="center"/>
          </w:tcPr>
          <w:p w14:paraId="1F456BE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超声引导下腰脊神经后内侧支针刺疗法结合腰椎斜扳手法正骨治疗急性腰扭伤的临床研究观察</w:t>
            </w:r>
          </w:p>
        </w:tc>
        <w:tc>
          <w:tcPr>
            <w:tcW w:w="3900" w:type="dxa"/>
            <w:tcBorders>
              <w:tl2br w:val="nil"/>
              <w:tr2bl w:val="nil"/>
            </w:tcBorders>
            <w:vAlign w:val="center"/>
          </w:tcPr>
          <w:p w14:paraId="3CF365D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江阴市中医院</w:t>
            </w:r>
          </w:p>
        </w:tc>
        <w:tc>
          <w:tcPr>
            <w:tcW w:w="1425" w:type="dxa"/>
            <w:tcBorders>
              <w:tl2br w:val="nil"/>
              <w:tr2bl w:val="nil"/>
            </w:tcBorders>
            <w:vAlign w:val="center"/>
          </w:tcPr>
          <w:p w14:paraId="6B86A303">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14DC34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7AB7FCC5">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17</w:t>
            </w:r>
          </w:p>
        </w:tc>
        <w:tc>
          <w:tcPr>
            <w:tcW w:w="8700" w:type="dxa"/>
            <w:tcBorders>
              <w:tl2br w:val="nil"/>
              <w:tr2bl w:val="nil"/>
            </w:tcBorders>
            <w:vAlign w:val="center"/>
          </w:tcPr>
          <w:p w14:paraId="43DE5FE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睾酮、雌二醇、细胞因子水平与慢性阻塞性肺疾病合并肌少症患者的相关性研究</w:t>
            </w:r>
          </w:p>
        </w:tc>
        <w:tc>
          <w:tcPr>
            <w:tcW w:w="3900" w:type="dxa"/>
            <w:tcBorders>
              <w:tl2br w:val="nil"/>
              <w:tr2bl w:val="nil"/>
            </w:tcBorders>
            <w:vAlign w:val="center"/>
          </w:tcPr>
          <w:p w14:paraId="6F427E3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江阴市人民医院</w:t>
            </w:r>
          </w:p>
        </w:tc>
        <w:tc>
          <w:tcPr>
            <w:tcW w:w="1425" w:type="dxa"/>
            <w:tcBorders>
              <w:tl2br w:val="nil"/>
              <w:tr2bl w:val="nil"/>
            </w:tcBorders>
            <w:vAlign w:val="center"/>
          </w:tcPr>
          <w:p w14:paraId="71BF29DA">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3FFB7A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716" w:type="dxa"/>
            <w:tcBorders>
              <w:tl2br w:val="nil"/>
              <w:tr2bl w:val="nil"/>
            </w:tcBorders>
            <w:vAlign w:val="center"/>
          </w:tcPr>
          <w:p w14:paraId="4E2A3E46">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18</w:t>
            </w:r>
          </w:p>
        </w:tc>
        <w:tc>
          <w:tcPr>
            <w:tcW w:w="8700" w:type="dxa"/>
            <w:tcBorders>
              <w:tl2br w:val="nil"/>
              <w:tr2bl w:val="nil"/>
            </w:tcBorders>
            <w:vAlign w:val="center"/>
          </w:tcPr>
          <w:p w14:paraId="266C7AD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血府逐瘀汤通过降低ICAM-1和VCAM-1表达从而改善经食道心超证实为非PFO封堵术指征的卵圆孔未闭所致偏头痛患者的疗效研究</w:t>
            </w:r>
          </w:p>
        </w:tc>
        <w:tc>
          <w:tcPr>
            <w:tcW w:w="3900" w:type="dxa"/>
            <w:tcBorders>
              <w:tl2br w:val="nil"/>
              <w:tr2bl w:val="nil"/>
            </w:tcBorders>
            <w:vAlign w:val="center"/>
          </w:tcPr>
          <w:p w14:paraId="3D61013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江阴市中医院</w:t>
            </w:r>
          </w:p>
        </w:tc>
        <w:tc>
          <w:tcPr>
            <w:tcW w:w="1425" w:type="dxa"/>
            <w:tcBorders>
              <w:tl2br w:val="nil"/>
              <w:tr2bl w:val="nil"/>
            </w:tcBorders>
            <w:vAlign w:val="center"/>
          </w:tcPr>
          <w:p w14:paraId="1B3E987C">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6E254C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3CC947BA">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19</w:t>
            </w:r>
          </w:p>
        </w:tc>
        <w:tc>
          <w:tcPr>
            <w:tcW w:w="8700" w:type="dxa"/>
            <w:tcBorders>
              <w:tl2br w:val="nil"/>
              <w:tr2bl w:val="nil"/>
            </w:tcBorders>
            <w:vAlign w:val="center"/>
          </w:tcPr>
          <w:p w14:paraId="569F6BB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不同腭穹隆形态的高角骨性二类成人腭部植入微种植支抗的安全性分析</w:t>
            </w:r>
          </w:p>
        </w:tc>
        <w:tc>
          <w:tcPr>
            <w:tcW w:w="3900" w:type="dxa"/>
            <w:tcBorders>
              <w:tl2br w:val="nil"/>
              <w:tr2bl w:val="nil"/>
            </w:tcBorders>
            <w:vAlign w:val="center"/>
          </w:tcPr>
          <w:p w14:paraId="614271F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江阴市中医院</w:t>
            </w:r>
          </w:p>
        </w:tc>
        <w:tc>
          <w:tcPr>
            <w:tcW w:w="1425" w:type="dxa"/>
            <w:tcBorders>
              <w:tl2br w:val="nil"/>
              <w:tr2bl w:val="nil"/>
            </w:tcBorders>
            <w:vAlign w:val="center"/>
          </w:tcPr>
          <w:p w14:paraId="3B7CC257">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r w14:paraId="111A93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 w:hRule="exact"/>
          <w:jc w:val="center"/>
        </w:trPr>
        <w:tc>
          <w:tcPr>
            <w:tcW w:w="716" w:type="dxa"/>
            <w:tcBorders>
              <w:tl2br w:val="nil"/>
              <w:tr2bl w:val="nil"/>
            </w:tcBorders>
            <w:vAlign w:val="center"/>
          </w:tcPr>
          <w:p w14:paraId="5FADF2E0">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20</w:t>
            </w:r>
          </w:p>
        </w:tc>
        <w:tc>
          <w:tcPr>
            <w:tcW w:w="8700" w:type="dxa"/>
            <w:tcBorders>
              <w:tl2br w:val="nil"/>
              <w:tr2bl w:val="nil"/>
            </w:tcBorders>
            <w:vAlign w:val="center"/>
          </w:tcPr>
          <w:p w14:paraId="7BED5A4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结合已知危险因素及影像组学分析优化肾结石患者输尿管镜碎石术后感染预测模型的研究</w:t>
            </w:r>
          </w:p>
        </w:tc>
        <w:tc>
          <w:tcPr>
            <w:tcW w:w="3900" w:type="dxa"/>
            <w:tcBorders>
              <w:tl2br w:val="nil"/>
              <w:tr2bl w:val="nil"/>
            </w:tcBorders>
            <w:vAlign w:val="center"/>
          </w:tcPr>
          <w:p w14:paraId="09883FA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江阴市中医院</w:t>
            </w:r>
          </w:p>
        </w:tc>
        <w:tc>
          <w:tcPr>
            <w:tcW w:w="1425" w:type="dxa"/>
            <w:tcBorders>
              <w:tl2br w:val="nil"/>
              <w:tr2bl w:val="nil"/>
            </w:tcBorders>
            <w:vAlign w:val="center"/>
          </w:tcPr>
          <w:p w14:paraId="14EE975A">
            <w:pPr>
              <w:keepNext w:val="0"/>
              <w:keepLines w:val="0"/>
              <w:pageBreakBefore w:val="0"/>
              <w:widowControl/>
              <w:suppressLineNumbers w:val="0"/>
              <w:kinsoku/>
              <w:wordWrap/>
              <w:overflowPunct/>
              <w:topLinePunct w:val="0"/>
              <w:autoSpaceDE/>
              <w:autoSpaceDN/>
              <w:bidi w:val="0"/>
              <w:adjustRightInd/>
              <w:spacing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澄江街道</w:t>
            </w:r>
          </w:p>
        </w:tc>
      </w:tr>
    </w:tbl>
    <w:p w14:paraId="3C2723AC">
      <w:pPr>
        <w:rPr>
          <w:rFonts w:hint="default" w:ascii="方正仿宋_GBK" w:hAnsi="Times New Roman" w:eastAsia="方正仿宋_GBK" w:cs="Times New Roman"/>
          <w:color w:val="000000" w:themeColor="text1"/>
          <w:kern w:val="0"/>
          <w:sz w:val="32"/>
          <w:szCs w:val="30"/>
          <w:lang w:val="en-US" w:eastAsia="zh-CN"/>
          <w14:textFill>
            <w14:solidFill>
              <w14:schemeClr w14:val="tx1"/>
            </w14:solidFill>
          </w14:textFill>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2MTlkMzU4ZDNiZTkzOTZjNWVhM2ZkOTRjM2VmNDQifQ=="/>
  </w:docVars>
  <w:rsids>
    <w:rsidRoot w:val="4A2B0000"/>
    <w:rsid w:val="071C0767"/>
    <w:rsid w:val="07707800"/>
    <w:rsid w:val="07DA6AB1"/>
    <w:rsid w:val="0ABE7223"/>
    <w:rsid w:val="0D6837C5"/>
    <w:rsid w:val="12926732"/>
    <w:rsid w:val="13996451"/>
    <w:rsid w:val="16743195"/>
    <w:rsid w:val="16B82F98"/>
    <w:rsid w:val="173262EA"/>
    <w:rsid w:val="19937107"/>
    <w:rsid w:val="1AF220BF"/>
    <w:rsid w:val="1D7003DA"/>
    <w:rsid w:val="1F8E6C4C"/>
    <w:rsid w:val="217B2785"/>
    <w:rsid w:val="23C959D7"/>
    <w:rsid w:val="2669427B"/>
    <w:rsid w:val="26AC2078"/>
    <w:rsid w:val="2AA202CD"/>
    <w:rsid w:val="2D485B6F"/>
    <w:rsid w:val="312A24A8"/>
    <w:rsid w:val="392635CF"/>
    <w:rsid w:val="3A9A7355"/>
    <w:rsid w:val="3CEE0F90"/>
    <w:rsid w:val="3EA70758"/>
    <w:rsid w:val="3FD44F24"/>
    <w:rsid w:val="41C3704D"/>
    <w:rsid w:val="42D01E2D"/>
    <w:rsid w:val="4994032B"/>
    <w:rsid w:val="4A2B0000"/>
    <w:rsid w:val="4AFE13A1"/>
    <w:rsid w:val="4C784156"/>
    <w:rsid w:val="51917235"/>
    <w:rsid w:val="51EC0C13"/>
    <w:rsid w:val="56916A9B"/>
    <w:rsid w:val="56ED315F"/>
    <w:rsid w:val="575552A4"/>
    <w:rsid w:val="58361C65"/>
    <w:rsid w:val="58503B99"/>
    <w:rsid w:val="5B033704"/>
    <w:rsid w:val="5B6065F6"/>
    <w:rsid w:val="5C425CFC"/>
    <w:rsid w:val="5CC21B4D"/>
    <w:rsid w:val="5CC404DD"/>
    <w:rsid w:val="5E777ABF"/>
    <w:rsid w:val="5EB73925"/>
    <w:rsid w:val="63EB3499"/>
    <w:rsid w:val="64430D0B"/>
    <w:rsid w:val="67135656"/>
    <w:rsid w:val="68536E85"/>
    <w:rsid w:val="686236EF"/>
    <w:rsid w:val="68915BF6"/>
    <w:rsid w:val="6A18009C"/>
    <w:rsid w:val="6BF56868"/>
    <w:rsid w:val="6DF431B2"/>
    <w:rsid w:val="6F044A5F"/>
    <w:rsid w:val="723D59AA"/>
    <w:rsid w:val="745443C6"/>
    <w:rsid w:val="75D92815"/>
    <w:rsid w:val="78F52D2F"/>
    <w:rsid w:val="7ABA7F61"/>
    <w:rsid w:val="7B0D6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11"/>
    <w:basedOn w:val="5"/>
    <w:qFormat/>
    <w:uiPriority w:val="0"/>
    <w:rPr>
      <w:rFonts w:hint="default" w:ascii="Times New Roman" w:hAnsi="Times New Roman" w:cs="Times New Roman"/>
      <w:color w:val="000000"/>
      <w:sz w:val="24"/>
      <w:szCs w:val="24"/>
      <w:u w:val="none"/>
    </w:rPr>
  </w:style>
  <w:style w:type="character" w:customStyle="1" w:styleId="7">
    <w:name w:val="font21"/>
    <w:basedOn w:val="5"/>
    <w:qFormat/>
    <w:uiPriority w:val="0"/>
    <w:rPr>
      <w:rFonts w:ascii="方正楷体_GBK" w:hAnsi="方正楷体_GBK" w:eastAsia="方正楷体_GBK" w:cs="方正楷体_GBK"/>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1278</Words>
  <Characters>1360</Characters>
  <Lines>0</Lines>
  <Paragraphs>0</Paragraphs>
  <TotalTime>23</TotalTime>
  <ScaleCrop>false</ScaleCrop>
  <LinksUpToDate>false</LinksUpToDate>
  <CharactersWithSpaces>1374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2020-09-07T05:42:00Z</dcterms:created>
  <dc:creator>Administrator</dc:creator>
  <cp:lastModifiedBy>Mercury.</cp:lastModifiedBy>
  <cp:lastPrinted>2024-12-06T02:11:00Z</cp:lastPrinted>
  <dcterms:modified xsi:type="dcterms:W3CDTF">2025-04-30T05:41:13Z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B23F29BD25D5441FA4A817E5DCF0852E_13</vt:lpwstr>
  </property>
</Properties>
</file>