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6C18B1">
      <w:pPr>
        <w:widowControl w:val="0"/>
        <w:kinsoku/>
        <w:autoSpaceDE/>
        <w:autoSpaceDN/>
        <w:adjustRightInd/>
        <w:snapToGrid/>
        <w:spacing w:line="540" w:lineRule="exact"/>
        <w:jc w:val="center"/>
        <w:textAlignment w:val="auto"/>
        <w:rPr>
          <w:rFonts w:ascii="Times New Roman" w:hAnsi="Times New Roman" w:eastAsia="方正小标宋_GBK" w:cs="方正小标宋_GBK"/>
          <w:snapToGrid/>
          <w:color w:val="auto"/>
          <w:w w:val="96"/>
          <w:kern w:val="21"/>
          <w:sz w:val="44"/>
          <w:szCs w:val="44"/>
        </w:rPr>
      </w:pPr>
      <w:bookmarkStart w:id="4" w:name="_GoBack"/>
      <w:r>
        <w:rPr>
          <w:rFonts w:hint="eastAsia" w:ascii="Times New Roman" w:hAnsi="Times New Roman" w:eastAsia="方正小标宋_GBK" w:cs="方正小标宋_GBK"/>
          <w:snapToGrid/>
          <w:color w:val="auto"/>
          <w:w w:val="96"/>
          <w:kern w:val="21"/>
          <w:sz w:val="44"/>
          <w:szCs w:val="44"/>
        </w:rPr>
        <w:t>江阴市关于推进银发经济高质量发展</w:t>
      </w:r>
    </w:p>
    <w:p w14:paraId="7B1F6B9A">
      <w:pPr>
        <w:widowControl w:val="0"/>
        <w:kinsoku/>
        <w:autoSpaceDE/>
        <w:autoSpaceDN/>
        <w:adjustRightInd/>
        <w:snapToGrid/>
        <w:spacing w:line="540" w:lineRule="exact"/>
        <w:jc w:val="center"/>
        <w:textAlignment w:val="auto"/>
        <w:rPr>
          <w:rFonts w:ascii="Times New Roman" w:hAnsi="Times New Roman" w:eastAsia="方正小标宋_GBK" w:cs="方正小标宋_GBK"/>
          <w:snapToGrid/>
          <w:color w:val="auto"/>
          <w:w w:val="96"/>
          <w:kern w:val="21"/>
          <w:sz w:val="44"/>
          <w:szCs w:val="44"/>
        </w:rPr>
      </w:pPr>
      <w:r>
        <w:rPr>
          <w:rFonts w:hint="eastAsia" w:ascii="Times New Roman" w:hAnsi="Times New Roman" w:eastAsia="方正小标宋_GBK" w:cs="方正小标宋_GBK"/>
          <w:snapToGrid/>
          <w:color w:val="auto"/>
          <w:w w:val="96"/>
          <w:kern w:val="21"/>
          <w:sz w:val="44"/>
          <w:szCs w:val="44"/>
          <w:lang w:eastAsia="zh-CN"/>
        </w:rPr>
        <w:t>增进老年人福祉</w:t>
      </w:r>
      <w:r>
        <w:rPr>
          <w:rFonts w:hint="eastAsia" w:ascii="Times New Roman" w:hAnsi="Times New Roman" w:eastAsia="方正小标宋_GBK" w:cs="方正小标宋_GBK"/>
          <w:snapToGrid/>
          <w:color w:val="auto"/>
          <w:w w:val="96"/>
          <w:kern w:val="21"/>
          <w:sz w:val="44"/>
          <w:szCs w:val="44"/>
        </w:rPr>
        <w:t>的实施意见</w:t>
      </w:r>
    </w:p>
    <w:p w14:paraId="1857D8DF">
      <w:pPr>
        <w:pStyle w:val="14"/>
        <w:widowControl/>
        <w:spacing w:before="0" w:after="0"/>
        <w:rPr>
          <w:rFonts w:eastAsia="方正楷体_GBK" w:cs="方正楷体_GBK"/>
          <w:color w:val="auto"/>
          <w:kern w:val="21"/>
        </w:rPr>
      </w:pPr>
    </w:p>
    <w:p w14:paraId="08B22279">
      <w:pPr>
        <w:pStyle w:val="14"/>
        <w:widowControl/>
        <w:spacing w:before="0" w:after="0"/>
        <w:rPr>
          <w:rFonts w:eastAsia="方正楷体_GBK" w:cs="方正楷体_GBK"/>
          <w:color w:val="auto"/>
          <w:kern w:val="21"/>
        </w:rPr>
      </w:pPr>
      <w:r>
        <w:rPr>
          <w:rFonts w:hint="eastAsia" w:eastAsia="方正楷体_GBK" w:cs="方正楷体_GBK"/>
          <w:color w:val="auto"/>
          <w:kern w:val="21"/>
        </w:rPr>
        <w:t>（征求意见稿）</w:t>
      </w:r>
    </w:p>
    <w:p w14:paraId="361D80C2">
      <w:pPr>
        <w:pStyle w:val="11"/>
        <w:widowControl/>
        <w:spacing w:before="0" w:line="240" w:lineRule="auto"/>
        <w:ind w:firstLine="472"/>
        <w:rPr>
          <w:color w:val="auto"/>
          <w:kern w:val="21"/>
        </w:rPr>
      </w:pPr>
    </w:p>
    <w:p w14:paraId="749D6CA3">
      <w:pPr>
        <w:pStyle w:val="11"/>
        <w:overflowPunct w:val="0"/>
        <w:adjustRightInd/>
        <w:spacing w:before="0" w:line="240" w:lineRule="auto"/>
        <w:ind w:firstLine="632"/>
        <w:rPr>
          <w:rFonts w:eastAsia="方正仿宋_GBK" w:cs="方正仿宋_GBK"/>
          <w:color w:val="auto"/>
          <w:kern w:val="21"/>
          <w:sz w:val="32"/>
          <w:szCs w:val="32"/>
        </w:rPr>
      </w:pPr>
      <w:r>
        <w:rPr>
          <w:rFonts w:hint="eastAsia" w:eastAsia="方正仿宋_GBK" w:cs="方正仿宋_GBK"/>
          <w:color w:val="auto"/>
          <w:kern w:val="21"/>
          <w:sz w:val="32"/>
          <w:szCs w:val="32"/>
        </w:rPr>
        <w:t>为深入实施积极应对人口老龄化国家战略，落实国家、省以及无锡市关于推动银发经济高质量发展的部署要求，推动我市银发经济高质量发展，结合江阴实际，提出如下实施意见。</w:t>
      </w:r>
    </w:p>
    <w:p w14:paraId="50F7864E">
      <w:pPr>
        <w:pStyle w:val="2"/>
        <w:overflowPunct w:val="0"/>
        <w:adjustRightInd/>
        <w:spacing w:before="0" w:line="240" w:lineRule="auto"/>
        <w:ind w:firstLine="632" w:firstLineChars="200"/>
        <w:rPr>
          <w:rFonts w:eastAsia="方正黑体_GBK" w:cs="方正黑体_GBK"/>
          <w:color w:val="auto"/>
          <w:kern w:val="21"/>
          <w:szCs w:val="32"/>
        </w:rPr>
      </w:pPr>
      <w:r>
        <w:rPr>
          <w:rFonts w:hint="eastAsia" w:eastAsia="方正黑体_GBK" w:cs="方正黑体_GBK"/>
          <w:color w:val="auto"/>
          <w:kern w:val="21"/>
          <w:szCs w:val="32"/>
        </w:rPr>
        <w:t>一、目标要求</w:t>
      </w:r>
    </w:p>
    <w:p w14:paraId="4E043FC5">
      <w:pPr>
        <w:pStyle w:val="15"/>
        <w:widowControl w:val="0"/>
        <w:kinsoku/>
        <w:overflowPunct w:val="0"/>
        <w:autoSpaceDE/>
        <w:autoSpaceDN/>
        <w:adjustRightInd/>
        <w:snapToGrid/>
        <w:spacing w:beforeAutospacing="0" w:afterAutospacing="0"/>
        <w:ind w:firstLine="632" w:firstLineChars="200"/>
        <w:jc w:val="both"/>
        <w:rPr>
          <w:rFonts w:ascii="Times New Roman" w:hAnsi="Times New Roman" w:cs="方正仿宋_GBK"/>
          <w:snapToGrid/>
          <w:color w:val="auto"/>
          <w:kern w:val="21"/>
          <w:sz w:val="32"/>
          <w:szCs w:val="32"/>
        </w:rPr>
      </w:pPr>
      <w:r>
        <w:rPr>
          <w:rFonts w:hint="eastAsia" w:ascii="Times New Roman" w:hAnsi="Times New Roman" w:cs="方正仿宋_GBK"/>
          <w:snapToGrid/>
          <w:color w:val="auto"/>
          <w:kern w:val="21"/>
          <w:sz w:val="32"/>
          <w:szCs w:val="32"/>
        </w:rPr>
        <w:t>以习近平新时代中国特色社会主义思想为指导，全面贯彻党的二十大以及二十届二中、三中全会精神，聚焦解决急难愁盼问题，注重满足老年人的多样化需求，坚持寓产业于事业的发展思路，补齐养老服务短板弱项，促进适老化服务消费，加强银发产业培育。到2026年底，建成“一刻钟便民生活服务圈”15个以上，“澄颐享”智慧养老服务平台实现政府+市场的有效运营。到2027年底，初步形成各类市场主体共同参与的多元化、专业化养老运营服务矩阵，引育3家品牌化、专业化的养老服务团队。</w:t>
      </w:r>
      <w:r>
        <w:rPr>
          <w:rFonts w:hint="eastAsia" w:ascii="Times New Roman" w:hAnsi="Times New Roman" w:cs="方正仿宋_GBK"/>
          <w:color w:val="auto"/>
          <w:sz w:val="32"/>
          <w:szCs w:val="32"/>
        </w:rPr>
        <w:t>到</w:t>
      </w:r>
      <w:r>
        <w:rPr>
          <w:rFonts w:ascii="Times New Roman" w:hAnsi="Times New Roman" w:cs="方正仿宋_GBK"/>
          <w:color w:val="auto"/>
          <w:sz w:val="32"/>
          <w:szCs w:val="32"/>
        </w:rPr>
        <w:t>2030年，智慧健康养老产品供给能力</w:t>
      </w:r>
      <w:r>
        <w:rPr>
          <w:rFonts w:hint="eastAsia" w:ascii="Times New Roman" w:hAnsi="Times New Roman" w:cs="方正仿宋_GBK"/>
          <w:color w:val="auto"/>
          <w:sz w:val="32"/>
          <w:szCs w:val="32"/>
        </w:rPr>
        <w:t>持续增强</w:t>
      </w:r>
      <w:r>
        <w:rPr>
          <w:rFonts w:ascii="Times New Roman" w:hAnsi="Times New Roman" w:cs="方正仿宋_GBK"/>
          <w:color w:val="auto"/>
          <w:sz w:val="32"/>
          <w:szCs w:val="32"/>
        </w:rPr>
        <w:t>，</w:t>
      </w:r>
      <w:r>
        <w:rPr>
          <w:rFonts w:hint="eastAsia" w:ascii="Times New Roman" w:hAnsi="Times New Roman" w:cs="方正仿宋_GBK"/>
          <w:color w:val="auto"/>
          <w:sz w:val="32"/>
          <w:szCs w:val="32"/>
        </w:rPr>
        <w:t>培育省级以上专精特新企业5家，</w:t>
      </w:r>
      <w:r>
        <w:rPr>
          <w:rFonts w:ascii="Times New Roman" w:hAnsi="Times New Roman" w:cs="方正仿宋_GBK"/>
          <w:color w:val="auto"/>
          <w:sz w:val="32"/>
          <w:szCs w:val="32"/>
        </w:rPr>
        <w:t>实现养老事业与银发产业的双翼齐飞，持续推动我市银发经济向规模化、集群化、品牌化方向发展。</w:t>
      </w:r>
    </w:p>
    <w:p w14:paraId="5A0C7191">
      <w:pPr>
        <w:pStyle w:val="2"/>
        <w:overflowPunct w:val="0"/>
        <w:adjustRightInd/>
        <w:spacing w:before="0" w:line="240" w:lineRule="auto"/>
        <w:ind w:firstLine="632" w:firstLineChars="200"/>
        <w:rPr>
          <w:rFonts w:eastAsia="方正黑体_GBK" w:cs="方正黑体_GBK"/>
          <w:color w:val="auto"/>
          <w:kern w:val="21"/>
          <w:szCs w:val="32"/>
        </w:rPr>
      </w:pPr>
      <w:r>
        <w:rPr>
          <w:rFonts w:hint="eastAsia" w:eastAsia="方正黑体_GBK" w:cs="方正黑体_GBK"/>
          <w:color w:val="auto"/>
          <w:kern w:val="21"/>
          <w:szCs w:val="32"/>
        </w:rPr>
        <w:t>二、重点任务</w:t>
      </w:r>
    </w:p>
    <w:p w14:paraId="435BFDA4">
      <w:pPr>
        <w:widowControl w:val="0"/>
        <w:kinsoku/>
        <w:overflowPunct w:val="0"/>
        <w:autoSpaceDE/>
        <w:autoSpaceDN/>
        <w:adjustRightInd/>
        <w:snapToGrid/>
        <w:ind w:firstLine="632" w:firstLineChars="200"/>
        <w:jc w:val="both"/>
        <w:rPr>
          <w:rFonts w:ascii="Times New Roman" w:hAnsi="Times New Roman" w:eastAsia="方正楷体_GBK" w:cs="方正楷体_GBK"/>
          <w:b/>
          <w:bCs/>
          <w:snapToGrid/>
          <w:color w:val="auto"/>
          <w:kern w:val="21"/>
          <w:szCs w:val="32"/>
          <w:lang w:eastAsia="zh-CN"/>
        </w:rPr>
      </w:pPr>
      <w:r>
        <w:rPr>
          <w:rFonts w:hint="eastAsia" w:ascii="Times New Roman" w:hAnsi="Times New Roman" w:eastAsia="方正楷体_GBK" w:cs="方正楷体_GBK"/>
          <w:b/>
          <w:bCs/>
          <w:snapToGrid/>
          <w:color w:val="auto"/>
          <w:kern w:val="21"/>
          <w:szCs w:val="32"/>
          <w:lang w:eastAsia="zh-CN"/>
        </w:rPr>
        <w:t>（一）推进养老服务品质提升行动</w:t>
      </w:r>
    </w:p>
    <w:p w14:paraId="4A28ECB9">
      <w:pPr>
        <w:widowControl w:val="0"/>
        <w:kinsoku/>
        <w:overflowPunct w:val="0"/>
        <w:autoSpaceDE/>
        <w:autoSpaceDN/>
        <w:adjustRightInd/>
        <w:snapToGrid/>
        <w:ind w:firstLine="632" w:firstLineChars="200"/>
        <w:jc w:val="both"/>
        <w:textAlignment w:val="auto"/>
        <w:rPr>
          <w:rFonts w:ascii="Times New Roman" w:hAnsi="Times New Roman" w:eastAsia="方正楷体_GBK" w:cs="方正楷体_GBK"/>
          <w:snapToGrid/>
          <w:color w:val="auto"/>
          <w:kern w:val="21"/>
          <w:szCs w:val="32"/>
          <w:lang w:eastAsia="zh-CN"/>
        </w:rPr>
      </w:pPr>
      <w:r>
        <w:rPr>
          <w:rFonts w:hint="eastAsia" w:ascii="Times New Roman" w:hAnsi="Times New Roman" w:eastAsia="方正楷体_GBK" w:cs="方正楷体_GBK"/>
          <w:snapToGrid/>
          <w:color w:val="auto"/>
          <w:kern w:val="21"/>
          <w:szCs w:val="32"/>
          <w:lang w:eastAsia="zh-CN"/>
        </w:rPr>
        <w:t>1．加强养老服务资源管理。</w:t>
      </w:r>
      <w:r>
        <w:rPr>
          <w:rFonts w:hint="eastAsia" w:ascii="方正仿宋_GBK" w:hAnsi="方正仿宋_GBK" w:cs="方正仿宋_GBK"/>
          <w:snapToGrid/>
          <w:color w:val="auto"/>
          <w:kern w:val="21"/>
          <w:szCs w:val="32"/>
          <w:lang w:eastAsia="zh-CN"/>
        </w:rPr>
        <w:t>探索设立市级国资背景的康养公司作为本地养老事业和产业发展的</w:t>
      </w:r>
      <w:r>
        <w:rPr>
          <w:rFonts w:hint="eastAsia" w:ascii="方正仿宋_GBK" w:hAnsi="方正仿宋_GBK" w:cs="方正仿宋_GBK"/>
          <w:snapToGrid/>
          <w:color w:val="auto"/>
          <w:kern w:val="21"/>
          <w:szCs w:val="32"/>
          <w:lang w:eastAsia="zh-CN"/>
        </w:rPr>
        <w:t>重要</w:t>
      </w:r>
      <w:r>
        <w:rPr>
          <w:rFonts w:hint="eastAsia" w:ascii="方正仿宋_GBK" w:hAnsi="方正仿宋_GBK" w:cs="方正仿宋_GBK"/>
          <w:snapToGrid/>
          <w:color w:val="auto"/>
          <w:kern w:val="21"/>
          <w:szCs w:val="32"/>
          <w:lang w:eastAsia="zh-CN"/>
        </w:rPr>
        <w:t>载体，</w:t>
      </w:r>
      <w:r>
        <w:rPr>
          <w:rFonts w:hint="eastAsia" w:ascii="方正仿宋_GBK" w:hAnsi="方正仿宋_GBK" w:cs="方正仿宋_GBK"/>
          <w:strike w:val="0"/>
          <w:dstrike w:val="0"/>
          <w:snapToGrid/>
          <w:color w:val="auto"/>
          <w:kern w:val="21"/>
          <w:szCs w:val="32"/>
          <w:lang w:eastAsia="zh-CN"/>
        </w:rPr>
        <w:t>链接多方资源，</w:t>
      </w:r>
      <w:r>
        <w:rPr>
          <w:rFonts w:hint="eastAsia" w:ascii="方正仿宋_GBK" w:hAnsi="方正仿宋_GBK" w:cs="方正仿宋_GBK"/>
          <w:snapToGrid/>
          <w:color w:val="auto"/>
          <w:kern w:val="21"/>
          <w:szCs w:val="32"/>
          <w:lang w:eastAsia="zh-CN"/>
        </w:rPr>
        <w:t>打开发展空间。充分发挥市属国资公司的资源和优势，在保障基本养老服务的同时，推动实现以国企运营为支撑、民企参与为补充、多种所有制形式相结合的养老事业和产业发展格局。</w:t>
      </w:r>
      <w:r>
        <w:rPr>
          <w:rFonts w:hint="eastAsia" w:ascii="Times New Roman" w:hAnsi="Times New Roman" w:eastAsia="方正楷体_GBK" w:cs="方正楷体_GBK"/>
          <w:snapToGrid/>
          <w:color w:val="auto"/>
          <w:kern w:val="21"/>
          <w:szCs w:val="32"/>
          <w:lang w:eastAsia="zh-CN"/>
        </w:rPr>
        <w:t>（责任单位：市民政局、市财政局。以下均需各开发区管委会、镇（街道）人民政府（办事处）负责，不再列出）</w:t>
      </w:r>
    </w:p>
    <w:p w14:paraId="2F55C57F">
      <w:pPr>
        <w:widowControl w:val="0"/>
        <w:kinsoku/>
        <w:overflowPunct w:val="0"/>
        <w:autoSpaceDE/>
        <w:autoSpaceDN/>
        <w:adjustRightInd/>
        <w:snapToGrid/>
        <w:ind w:firstLine="632" w:firstLineChars="200"/>
        <w:jc w:val="both"/>
        <w:textAlignment w:val="auto"/>
        <w:rPr>
          <w:rFonts w:ascii="Times New Roman" w:hAnsi="Times New Roman" w:eastAsia="方正楷体_GBK" w:cs="方正楷体_GBK"/>
          <w:snapToGrid/>
          <w:color w:val="auto"/>
          <w:kern w:val="21"/>
          <w:szCs w:val="32"/>
          <w:lang w:eastAsia="zh-CN"/>
        </w:rPr>
      </w:pPr>
      <w:r>
        <w:rPr>
          <w:rFonts w:hint="eastAsia" w:ascii="Times New Roman" w:hAnsi="Times New Roman" w:eastAsia="方正楷体_GBK" w:cs="方正楷体_GBK"/>
          <w:snapToGrid/>
          <w:color w:val="auto"/>
          <w:kern w:val="21"/>
          <w:szCs w:val="32"/>
          <w:lang w:eastAsia="zh-CN"/>
        </w:rPr>
        <w:t xml:space="preserve"> 2．完善三级协同服务网络。</w:t>
      </w:r>
      <w:r>
        <w:rPr>
          <w:rFonts w:hint="eastAsia" w:ascii="方正仿宋_GBK" w:hAnsi="方正仿宋_GBK" w:cs="方正仿宋_GBK"/>
          <w:snapToGrid/>
          <w:color w:val="auto"/>
          <w:kern w:val="21"/>
          <w:szCs w:val="32"/>
          <w:lang w:eastAsia="zh-CN"/>
        </w:rPr>
        <w:t>推动以政府为主导、市场为主体运营模式的智慧养老服务平台建设。发挥市级养老服务平台集聚资源、适配需求、调度监管的核心作用，完善市、镇、村三级养老服务网络，构建完善最江阴APP入口，为老年人提供丰富、便捷、高效的“澄颐享”品牌养老服务。</w:t>
      </w:r>
      <w:r>
        <w:rPr>
          <w:rFonts w:hint="eastAsia" w:ascii="Times New Roman" w:hAnsi="Times New Roman" w:eastAsia="方正楷体_GBK" w:cs="方正楷体_GBK"/>
          <w:snapToGrid/>
          <w:color w:val="auto"/>
          <w:kern w:val="21"/>
          <w:szCs w:val="32"/>
          <w:lang w:eastAsia="zh-CN"/>
        </w:rPr>
        <w:t>（责任单位：市民政局、市财政局、市住建局、市数据局、江阴传媒集团）</w:t>
      </w:r>
    </w:p>
    <w:p w14:paraId="69181F2D">
      <w:pPr>
        <w:widowControl w:val="0"/>
        <w:kinsoku/>
        <w:overflowPunct w:val="0"/>
        <w:autoSpaceDE/>
        <w:autoSpaceDN/>
        <w:adjustRightInd/>
        <w:snapToGrid/>
        <w:ind w:firstLine="632" w:firstLineChars="200"/>
        <w:jc w:val="both"/>
        <w:textAlignment w:val="auto"/>
        <w:rPr>
          <w:rFonts w:ascii="Times New Roman" w:hAnsi="Times New Roman" w:eastAsia="方正楷体_GBK" w:cs="方正楷体_GBK"/>
          <w:snapToGrid/>
          <w:color w:val="auto"/>
          <w:kern w:val="21"/>
          <w:szCs w:val="32"/>
          <w:lang w:eastAsia="zh-CN"/>
        </w:rPr>
      </w:pPr>
      <w:r>
        <w:rPr>
          <w:rFonts w:hint="eastAsia" w:ascii="Times New Roman" w:hAnsi="Times New Roman" w:eastAsia="方正楷体_GBK" w:cs="方正楷体_GBK"/>
          <w:snapToGrid/>
          <w:color w:val="auto"/>
          <w:kern w:val="21"/>
          <w:szCs w:val="32"/>
          <w:lang w:eastAsia="zh-CN"/>
        </w:rPr>
        <w:t>3．优化社区嵌入服务内容。</w:t>
      </w:r>
      <w:r>
        <w:rPr>
          <w:rFonts w:hint="eastAsia" w:ascii="方正仿宋_GBK" w:hAnsi="方正仿宋_GBK" w:cs="方正仿宋_GBK"/>
          <w:snapToGrid/>
          <w:color w:val="auto"/>
          <w:kern w:val="21"/>
          <w:szCs w:val="32"/>
          <w:lang w:eastAsia="zh-CN"/>
        </w:rPr>
        <w:t>依托“澄颐享”智慧养老服务平台，以构建“一刻钟”养老服务圈为基础，探索“镇（街道）综合体+村（社区）网点”连锁运营、组网服务模式，补齐养老服务设施，提升60个居家站点服务环境，将社区养老服务站点打造成家门口、一站式服务阵地。推行养老顾问制度，为老年人量身定制服务计划、跟踪落实服务闭环。推进养老机构护理型床位、认知障碍照护专区建设，以社区为单位试点开展老年认知障碍预防和干预工作。</w:t>
      </w:r>
      <w:r>
        <w:rPr>
          <w:rFonts w:hint="eastAsia" w:ascii="Times New Roman" w:hAnsi="Times New Roman" w:eastAsia="方正楷体_GBK" w:cs="方正楷体_GBK"/>
          <w:snapToGrid/>
          <w:color w:val="auto"/>
          <w:kern w:val="21"/>
          <w:szCs w:val="32"/>
          <w:lang w:eastAsia="zh-CN"/>
        </w:rPr>
        <w:t>（责任单位：市民政局、市住建局、市卫健委）</w:t>
      </w:r>
    </w:p>
    <w:p w14:paraId="48942AFC">
      <w:pPr>
        <w:widowControl w:val="0"/>
        <w:kinsoku/>
        <w:overflowPunct w:val="0"/>
        <w:autoSpaceDE/>
        <w:autoSpaceDN/>
        <w:adjustRightInd/>
        <w:snapToGrid/>
        <w:ind w:firstLine="632" w:firstLineChars="200"/>
        <w:jc w:val="both"/>
        <w:textAlignment w:val="auto"/>
        <w:rPr>
          <w:rFonts w:ascii="Times New Roman" w:hAnsi="Times New Roman" w:eastAsia="方正楷体_GBK" w:cs="方正楷体_GBK"/>
          <w:snapToGrid/>
          <w:color w:val="auto"/>
          <w:kern w:val="21"/>
          <w:szCs w:val="32"/>
          <w:lang w:eastAsia="zh-CN"/>
        </w:rPr>
      </w:pPr>
      <w:r>
        <w:rPr>
          <w:rFonts w:hint="eastAsia" w:ascii="Times New Roman" w:hAnsi="Times New Roman" w:eastAsia="方正楷体_GBK" w:cs="方正楷体_GBK"/>
          <w:snapToGrid/>
          <w:color w:val="auto"/>
          <w:kern w:val="21"/>
          <w:szCs w:val="32"/>
          <w:lang w:eastAsia="zh-CN"/>
        </w:rPr>
        <w:t>4． 创新居家养老服务。</w:t>
      </w:r>
      <w:r>
        <w:rPr>
          <w:rFonts w:hint="eastAsia" w:ascii="方正仿宋_GBK" w:hAnsi="方正仿宋_GBK" w:cs="方正仿宋_GBK"/>
          <w:snapToGrid/>
          <w:color w:val="auto"/>
          <w:kern w:val="21"/>
          <w:szCs w:val="32"/>
          <w:lang w:eastAsia="zh-CN"/>
        </w:rPr>
        <w:t>推行养老服务“银龄卡”改革试点，以“最江阴</w:t>
      </w:r>
      <w:r>
        <w:rPr>
          <w:rFonts w:hint="eastAsia" w:ascii="方正仿宋_GBK" w:hAnsi="方正仿宋_GBK" w:cs="方正仿宋_GBK"/>
          <w:snapToGrid/>
          <w:color w:val="auto"/>
          <w:kern w:val="21"/>
          <w:szCs w:val="32"/>
          <w:lang w:val="en-US" w:eastAsia="zh-CN"/>
        </w:rPr>
        <w:t>APP</w:t>
      </w:r>
      <w:r>
        <w:rPr>
          <w:rFonts w:hint="eastAsia" w:ascii="方正仿宋_GBK" w:hAnsi="方正仿宋_GBK" w:cs="方正仿宋_GBK"/>
          <w:snapToGrid/>
          <w:color w:val="auto"/>
          <w:kern w:val="21"/>
          <w:szCs w:val="32"/>
          <w:lang w:eastAsia="zh-CN"/>
        </w:rPr>
        <w:t>”和“市民卡”为服务载体，打造线上、线下一体联动服务模式。以需求为导向，发挥市场配置资源作用，扩容以养老机构、服务企业、社会组织等为主体的养老服务队伍。通过贯标服务、评价回访、优胜劣汰的方式，规范养老服务行为，提高综合满意度。</w:t>
      </w:r>
      <w:r>
        <w:rPr>
          <w:rFonts w:hint="eastAsia" w:ascii="Times New Roman" w:hAnsi="Times New Roman" w:eastAsia="方正楷体_GBK" w:cs="方正楷体_GBK"/>
          <w:snapToGrid/>
          <w:color w:val="auto"/>
          <w:kern w:val="21"/>
          <w:szCs w:val="32"/>
          <w:lang w:eastAsia="zh-CN"/>
        </w:rPr>
        <w:t>（责任单位：市民政局、市财政局、江阴传媒集团）</w:t>
      </w:r>
    </w:p>
    <w:p w14:paraId="2CDA624E">
      <w:pPr>
        <w:widowControl w:val="0"/>
        <w:kinsoku/>
        <w:overflowPunct w:val="0"/>
        <w:autoSpaceDE/>
        <w:autoSpaceDN/>
        <w:adjustRightInd/>
        <w:snapToGrid/>
        <w:ind w:firstLine="632" w:firstLineChars="200"/>
        <w:jc w:val="both"/>
        <w:textAlignment w:val="auto"/>
        <w:rPr>
          <w:rFonts w:ascii="Times New Roman" w:hAnsi="Times New Roman" w:eastAsia="方正楷体_GBK" w:cs="方正楷体_GBK"/>
          <w:snapToGrid/>
          <w:color w:val="auto"/>
          <w:kern w:val="21"/>
          <w:szCs w:val="32"/>
          <w:lang w:eastAsia="zh-CN"/>
        </w:rPr>
      </w:pPr>
      <w:r>
        <w:rPr>
          <w:rFonts w:hint="eastAsia" w:ascii="Times New Roman" w:hAnsi="Times New Roman" w:eastAsia="方正楷体_GBK" w:cs="方正楷体_GBK"/>
          <w:snapToGrid/>
          <w:color w:val="auto"/>
          <w:kern w:val="21"/>
          <w:szCs w:val="32"/>
          <w:lang w:eastAsia="zh-CN"/>
        </w:rPr>
        <w:t>5．提升“银龄暖餐”服务质效。</w:t>
      </w:r>
      <w:r>
        <w:rPr>
          <w:rFonts w:hint="eastAsia" w:ascii="方正仿宋_GBK" w:hAnsi="方正仿宋_GBK" w:cs="方正仿宋_GBK"/>
          <w:snapToGrid/>
          <w:color w:val="auto"/>
          <w:kern w:val="21"/>
          <w:szCs w:val="32"/>
          <w:lang w:eastAsia="zh-CN"/>
        </w:rPr>
        <w:t>做深“银龄暖餐”服务品牌，推广“澄颐享”AI社区餐厅模式，鼓励各类市场主体通过“社区食堂+助餐”“国有企业+助餐”“餐饮企业+助餐”“物业企业+助餐”“外卖平台+助餐”等方式参与运营老年助餐服务，全市提升助餐中心20家。开展助餐服务机构等级评定工作，实施差异化的补贴政策，引导助餐中心（点）高质量发展。</w:t>
      </w:r>
      <w:r>
        <w:rPr>
          <w:rFonts w:hint="eastAsia" w:ascii="Times New Roman" w:hAnsi="Times New Roman" w:eastAsia="方正楷体_GBK" w:cs="方正楷体_GBK"/>
          <w:snapToGrid/>
          <w:color w:val="auto"/>
          <w:kern w:val="21"/>
          <w:szCs w:val="32"/>
          <w:lang w:eastAsia="zh-CN"/>
        </w:rPr>
        <w:t>（责任单位：市民政局、市财政局、市住建局、市市场监管局）</w:t>
      </w:r>
    </w:p>
    <w:p w14:paraId="5CEAED1F">
      <w:pPr>
        <w:widowControl w:val="0"/>
        <w:kinsoku/>
        <w:overflowPunct w:val="0"/>
        <w:autoSpaceDE/>
        <w:autoSpaceDN/>
        <w:adjustRightInd/>
        <w:snapToGrid/>
        <w:ind w:firstLine="632" w:firstLineChars="200"/>
        <w:jc w:val="both"/>
        <w:textAlignment w:val="auto"/>
        <w:rPr>
          <w:rFonts w:ascii="Times New Roman" w:hAnsi="Times New Roman" w:eastAsia="方正楷体_GBK" w:cs="方正楷体_GBK"/>
          <w:snapToGrid/>
          <w:color w:val="auto"/>
          <w:kern w:val="21"/>
          <w:szCs w:val="32"/>
          <w:lang w:eastAsia="zh-CN"/>
        </w:rPr>
      </w:pPr>
      <w:r>
        <w:rPr>
          <w:rFonts w:hint="eastAsia" w:ascii="Times New Roman" w:hAnsi="Times New Roman" w:eastAsia="方正楷体_GBK" w:cs="方正楷体_GBK"/>
          <w:snapToGrid/>
          <w:color w:val="auto"/>
          <w:kern w:val="21"/>
          <w:szCs w:val="32"/>
          <w:lang w:eastAsia="zh-CN"/>
        </w:rPr>
        <w:t>6．分类推进养老机构改革。</w:t>
      </w:r>
      <w:r>
        <w:rPr>
          <w:rFonts w:hint="eastAsia" w:ascii="方正仿宋_GBK" w:hAnsi="方正仿宋_GBK" w:cs="方正仿宋_GBK"/>
          <w:snapToGrid/>
          <w:color w:val="auto"/>
          <w:kern w:val="21"/>
          <w:szCs w:val="32"/>
          <w:lang w:eastAsia="zh-CN"/>
        </w:rPr>
        <w:t>优化养老机构布局，以四大功能区为基础，在全市设置保障特困老年人和经济困难失能老年人为主的兜底型机构。探索公办养老机构委托国企运营模式，为老年人提供价格可承担、质量有保障的普惠型养老服务。引入各类市场主体充分竞争、优质优价提供市场型养老服务，满足老年人多样化需求。加强养老机构专区化建设，提高失能失智老年人照护能力和水平，机构护理型床位占比达到80%以上。</w:t>
      </w:r>
      <w:r>
        <w:rPr>
          <w:rFonts w:hint="eastAsia" w:ascii="Times New Roman" w:hAnsi="Times New Roman" w:eastAsia="方正楷体_GBK" w:cs="方正楷体_GBK"/>
          <w:snapToGrid/>
          <w:color w:val="auto"/>
          <w:kern w:val="21"/>
          <w:szCs w:val="32"/>
          <w:lang w:eastAsia="zh-CN"/>
        </w:rPr>
        <w:t>（责任单位：市民政局、市财政局、市卫健委、市医保局）</w:t>
      </w:r>
    </w:p>
    <w:p w14:paraId="768AFD00">
      <w:pPr>
        <w:widowControl w:val="0"/>
        <w:kinsoku/>
        <w:overflowPunct w:val="0"/>
        <w:autoSpaceDE/>
        <w:autoSpaceDN/>
        <w:adjustRightInd/>
        <w:snapToGrid/>
        <w:ind w:firstLine="632" w:firstLineChars="200"/>
        <w:jc w:val="both"/>
        <w:rPr>
          <w:rFonts w:ascii="Times New Roman" w:hAnsi="Times New Roman" w:eastAsia="方正楷体_GBK" w:cs="方正楷体_GBK"/>
          <w:b/>
          <w:bCs/>
          <w:snapToGrid/>
          <w:color w:val="auto"/>
          <w:kern w:val="21"/>
          <w:szCs w:val="32"/>
          <w:lang w:eastAsia="zh-CN"/>
        </w:rPr>
      </w:pPr>
      <w:r>
        <w:rPr>
          <w:rFonts w:hint="eastAsia" w:ascii="Times New Roman" w:hAnsi="Times New Roman" w:eastAsia="方正楷体_GBK" w:cs="方正楷体_GBK"/>
          <w:b/>
          <w:bCs/>
          <w:snapToGrid/>
          <w:color w:val="auto"/>
          <w:kern w:val="21"/>
          <w:szCs w:val="32"/>
          <w:lang w:eastAsia="zh-CN"/>
        </w:rPr>
        <w:t>（二）推进银发消费服务拓展行动</w:t>
      </w:r>
    </w:p>
    <w:p w14:paraId="063757EF">
      <w:pPr>
        <w:widowControl w:val="0"/>
        <w:kinsoku/>
        <w:overflowPunct w:val="0"/>
        <w:autoSpaceDE/>
        <w:autoSpaceDN/>
        <w:adjustRightInd/>
        <w:snapToGrid/>
        <w:ind w:firstLine="632" w:firstLineChars="200"/>
        <w:jc w:val="both"/>
        <w:textAlignment w:val="auto"/>
        <w:rPr>
          <w:rFonts w:ascii="Times New Roman" w:hAnsi="Times New Roman" w:cs="方正仿宋_GBK"/>
          <w:snapToGrid/>
          <w:color w:val="auto"/>
          <w:kern w:val="21"/>
          <w:szCs w:val="32"/>
          <w:lang w:eastAsia="zh-CN"/>
        </w:rPr>
      </w:pPr>
      <w:r>
        <w:rPr>
          <w:rFonts w:hint="eastAsia" w:ascii="Times New Roman" w:hAnsi="Times New Roman" w:eastAsia="方正楷体_GBK" w:cs="方正楷体_GBK"/>
          <w:snapToGrid/>
          <w:color w:val="auto"/>
          <w:kern w:val="21"/>
          <w:szCs w:val="32"/>
          <w:lang w:eastAsia="zh-CN"/>
        </w:rPr>
        <w:t>7．开发特色旅游产品</w:t>
      </w:r>
      <w:r>
        <w:rPr>
          <w:rFonts w:hint="eastAsia" w:ascii="Times New Roman" w:hAnsi="Times New Roman" w:cs="方正仿宋_GBK"/>
          <w:snapToGrid/>
          <w:color w:val="auto"/>
          <w:kern w:val="21"/>
          <w:szCs w:val="32"/>
          <w:lang w:eastAsia="zh-CN"/>
        </w:rPr>
        <w:t>。发挥徐霞客“游圣”品牌优势，深挖各地自然禀赋和人文资源，精心打造以江阴外滩、华西村、飞马水城、长泾老街、红豆村、胡子小镇、远望二号船等为代表的特色旅游项目。</w:t>
      </w:r>
      <w:r>
        <w:rPr>
          <w:rFonts w:hint="eastAsia" w:ascii="Times New Roman" w:hAnsi="Times New Roman" w:cs="方正仿宋_GBK"/>
          <w:color w:val="auto"/>
          <w:kern w:val="21"/>
          <w:szCs w:val="32"/>
          <w:lang w:eastAsia="zh-CN"/>
        </w:rPr>
        <w:t>培育“水韵江苏·美好乡村”四季皆宜的乡村旅游产品，开发传统美食游、人文历史游、军事文化游、中医康养游等地方特色线路。</w:t>
      </w:r>
      <w:r>
        <w:rPr>
          <w:rFonts w:ascii="Times New Roman" w:hAnsi="Times New Roman" w:cs="方正仿宋_GBK"/>
          <w:color w:val="auto"/>
          <w:kern w:val="21"/>
          <w:szCs w:val="32"/>
          <w:lang w:eastAsia="zh-CN"/>
        </w:rPr>
        <w:t>推动江阴与霍城、延川、灌云等对口</w:t>
      </w:r>
      <w:r>
        <w:rPr>
          <w:rFonts w:hint="eastAsia" w:ascii="Times New Roman" w:hAnsi="Times New Roman" w:cs="方正仿宋_GBK"/>
          <w:color w:val="auto"/>
          <w:kern w:val="21"/>
          <w:szCs w:val="32"/>
          <w:lang w:eastAsia="zh-CN"/>
        </w:rPr>
        <w:t>协作</w:t>
      </w:r>
      <w:r>
        <w:rPr>
          <w:rFonts w:ascii="Times New Roman" w:hAnsi="Times New Roman" w:cs="方正仿宋_GBK"/>
          <w:color w:val="auto"/>
          <w:kern w:val="21"/>
          <w:szCs w:val="32"/>
          <w:lang w:eastAsia="zh-CN"/>
        </w:rPr>
        <w:t>城市的合作，策划设立</w:t>
      </w:r>
      <w:r>
        <w:rPr>
          <w:rFonts w:hint="eastAsia" w:ascii="Times New Roman" w:hAnsi="Times New Roman" w:cs="方正仿宋_GBK"/>
          <w:color w:val="auto"/>
          <w:kern w:val="21"/>
          <w:szCs w:val="32"/>
          <w:lang w:eastAsia="zh-CN"/>
        </w:rPr>
        <w:t>银发</w:t>
      </w:r>
      <w:r>
        <w:rPr>
          <w:rFonts w:ascii="Times New Roman" w:hAnsi="Times New Roman" w:cs="方正仿宋_GBK"/>
          <w:color w:val="auto"/>
          <w:kern w:val="21"/>
          <w:szCs w:val="32"/>
          <w:lang w:eastAsia="zh-CN"/>
        </w:rPr>
        <w:t>旅游</w:t>
      </w:r>
      <w:r>
        <w:rPr>
          <w:rFonts w:hint="eastAsia" w:ascii="Times New Roman" w:hAnsi="Times New Roman" w:cs="方正仿宋_GBK"/>
          <w:color w:val="auto"/>
          <w:kern w:val="21"/>
          <w:szCs w:val="32"/>
          <w:lang w:eastAsia="zh-CN"/>
        </w:rPr>
        <w:t>精品</w:t>
      </w:r>
      <w:r>
        <w:rPr>
          <w:rFonts w:ascii="Times New Roman" w:hAnsi="Times New Roman" w:cs="方正仿宋_GBK"/>
          <w:color w:val="auto"/>
          <w:kern w:val="21"/>
          <w:szCs w:val="32"/>
          <w:lang w:eastAsia="zh-CN"/>
        </w:rPr>
        <w:t>项目。</w:t>
      </w:r>
      <w:r>
        <w:rPr>
          <w:rFonts w:hint="eastAsia" w:ascii="Times New Roman" w:hAnsi="Times New Roman" w:cs="方正仿宋_GBK"/>
          <w:snapToGrid/>
          <w:color w:val="auto"/>
          <w:kern w:val="21"/>
          <w:szCs w:val="32"/>
          <w:lang w:eastAsia="zh-CN"/>
        </w:rPr>
        <w:t>（</w:t>
      </w:r>
      <w:r>
        <w:rPr>
          <w:rFonts w:hint="eastAsia" w:ascii="Times New Roman" w:hAnsi="Times New Roman" w:eastAsia="方正楷体_GBK" w:cs="方正楷体_GBK"/>
          <w:snapToGrid/>
          <w:color w:val="auto"/>
          <w:kern w:val="21"/>
          <w:szCs w:val="32"/>
          <w:lang w:eastAsia="zh-CN"/>
        </w:rPr>
        <w:t>责任单位：市文体广旅局、市卫健委、市农业农村局、市文商旅集团</w:t>
      </w:r>
      <w:r>
        <w:rPr>
          <w:rFonts w:hint="eastAsia" w:ascii="Times New Roman" w:hAnsi="Times New Roman" w:cs="方正仿宋_GBK"/>
          <w:snapToGrid/>
          <w:color w:val="auto"/>
          <w:kern w:val="21"/>
          <w:szCs w:val="32"/>
          <w:lang w:eastAsia="zh-CN"/>
        </w:rPr>
        <w:t>）</w:t>
      </w:r>
    </w:p>
    <w:p w14:paraId="7A5A5B7C">
      <w:pPr>
        <w:widowControl w:val="0"/>
        <w:kinsoku/>
        <w:overflowPunct w:val="0"/>
        <w:autoSpaceDE/>
        <w:autoSpaceDN/>
        <w:adjustRightInd/>
        <w:snapToGrid/>
        <w:ind w:firstLine="632" w:firstLineChars="200"/>
        <w:jc w:val="both"/>
        <w:textAlignment w:val="auto"/>
        <w:rPr>
          <w:rFonts w:ascii="Times New Roman" w:hAnsi="Times New Roman" w:cs="方正仿宋_GBK"/>
          <w:snapToGrid/>
          <w:color w:val="auto"/>
          <w:kern w:val="21"/>
          <w:szCs w:val="32"/>
          <w:lang w:eastAsia="zh-CN"/>
        </w:rPr>
      </w:pPr>
      <w:r>
        <w:rPr>
          <w:rFonts w:hint="eastAsia" w:ascii="Times New Roman" w:hAnsi="Times New Roman" w:eastAsia="方正楷体_GBK" w:cs="方正楷体_GBK"/>
          <w:snapToGrid/>
          <w:color w:val="auto"/>
          <w:kern w:val="21"/>
          <w:szCs w:val="32"/>
          <w:lang w:eastAsia="zh-CN"/>
        </w:rPr>
        <w:t>8．激发老年教培消费。</w:t>
      </w:r>
      <w:r>
        <w:rPr>
          <w:rFonts w:hint="eastAsia" w:ascii="Times New Roman" w:hAnsi="Times New Roman" w:cs="方正仿宋_GBK"/>
          <w:snapToGrid/>
          <w:color w:val="auto"/>
          <w:kern w:val="21"/>
          <w:szCs w:val="32"/>
          <w:lang w:eastAsia="zh-CN"/>
        </w:rPr>
        <w:t>拓展江阴市职业技术学院社区培训学院特色优势，辐射江阴职业技术学院“江苏高校银龄学习中心”品牌影响，加强各镇街园区老年教育机构建设，以健康养生、家庭教育、人文艺术等为重点，激发老年学习内生动力，拓展课程资源，丰富课程体系，为社区老年人提供互联互通、普惠共享的老年教育服务。拓展老年大学优质资源下沉到社区，新增社区老年办学点6家，鼓励开展社会老年办学机构探索。（</w:t>
      </w:r>
      <w:r>
        <w:rPr>
          <w:rFonts w:hint="eastAsia" w:ascii="Times New Roman" w:hAnsi="Times New Roman" w:eastAsia="方正楷体_GBK" w:cs="方正楷体_GBK"/>
          <w:snapToGrid/>
          <w:color w:val="auto"/>
          <w:kern w:val="21"/>
          <w:szCs w:val="32"/>
          <w:lang w:eastAsia="zh-CN"/>
        </w:rPr>
        <w:t>责任单位：市教育局、市民政局</w:t>
      </w:r>
      <w:r>
        <w:rPr>
          <w:rFonts w:hint="eastAsia" w:ascii="Times New Roman" w:hAnsi="Times New Roman" w:cs="方正仿宋_GBK"/>
          <w:snapToGrid/>
          <w:color w:val="auto"/>
          <w:kern w:val="21"/>
          <w:szCs w:val="32"/>
          <w:lang w:eastAsia="zh-CN"/>
        </w:rPr>
        <w:t>）</w:t>
      </w:r>
    </w:p>
    <w:p w14:paraId="14893480">
      <w:pPr>
        <w:widowControl w:val="0"/>
        <w:kinsoku/>
        <w:overflowPunct w:val="0"/>
        <w:autoSpaceDE/>
        <w:autoSpaceDN/>
        <w:adjustRightInd/>
        <w:snapToGrid/>
        <w:ind w:firstLine="632" w:firstLineChars="200"/>
        <w:jc w:val="both"/>
        <w:textAlignment w:val="auto"/>
        <w:rPr>
          <w:rFonts w:ascii="Times New Roman" w:hAnsi="Times New Roman" w:eastAsia="方正楷体_GBK" w:cs="方正楷体_GBK"/>
          <w:snapToGrid/>
          <w:color w:val="auto"/>
          <w:kern w:val="21"/>
          <w:szCs w:val="32"/>
          <w:lang w:eastAsia="zh-CN"/>
        </w:rPr>
      </w:pPr>
      <w:r>
        <w:rPr>
          <w:rFonts w:hint="eastAsia" w:ascii="Times New Roman" w:hAnsi="Times New Roman" w:eastAsia="方正楷体_GBK" w:cs="方正楷体_GBK"/>
          <w:snapToGrid/>
          <w:color w:val="auto"/>
          <w:kern w:val="21"/>
          <w:szCs w:val="32"/>
          <w:lang w:eastAsia="zh-CN"/>
        </w:rPr>
        <w:t>9．优化健康养老服务。</w:t>
      </w:r>
      <w:r>
        <w:rPr>
          <w:rFonts w:hint="eastAsia" w:ascii="Times New Roman" w:hAnsi="Times New Roman" w:cs="方正仿宋_GBK"/>
          <w:snapToGrid/>
          <w:color w:val="auto"/>
          <w:kern w:val="21"/>
          <w:szCs w:val="32"/>
          <w:lang w:eastAsia="zh-CN"/>
        </w:rPr>
        <w:t>建设基层慢病筛防中心（CSP），对慢性病老年群体进行规范管理。开展家庭医生“签约有感”行动，针对65岁以上老年人推行签约个性化服务包并落实签约费用。推进公建公营护理院建设，</w:t>
      </w:r>
      <w:r>
        <w:rPr>
          <w:rFonts w:hint="eastAsia" w:ascii="Times New Roman" w:hAnsi="Times New Roman" w:cs="方正仿宋_GBK"/>
          <w:snapToGrid/>
          <w:color w:val="auto"/>
          <w:kern w:val="21"/>
          <w:szCs w:val="32"/>
          <w:lang w:eastAsia="zh-CN"/>
        </w:rPr>
        <w:t>鼓励</w:t>
      </w:r>
      <w:r>
        <w:rPr>
          <w:rFonts w:hint="eastAsia" w:ascii="Times New Roman" w:hAnsi="Times New Roman" w:cs="方正仿宋_GBK"/>
          <w:snapToGrid/>
          <w:color w:val="auto"/>
          <w:kern w:val="21"/>
          <w:szCs w:val="32"/>
          <w:lang w:eastAsia="zh-CN"/>
        </w:rPr>
        <w:t>康养酒店（民宿）等新业态发展，为老年人提供医养结合服务。依托紧密型县域医共体“11+N”服务体系，将AI人工智能引入健康医疗，深化“家庭病床”和“e护理”服务。推广适老化改造项目，将澄颐享智慧养老服务平台推广与智慧社区（数字乡村）建设相结合，促进智慧养老产业发展。提升长期护理保险运行管理效能，加大对失能人员保障力度。（</w:t>
      </w:r>
      <w:r>
        <w:rPr>
          <w:rFonts w:hint="eastAsia" w:ascii="Times New Roman" w:hAnsi="Times New Roman" w:eastAsia="方正楷体_GBK" w:cs="方正楷体_GBK"/>
          <w:snapToGrid/>
          <w:color w:val="auto"/>
          <w:kern w:val="21"/>
          <w:szCs w:val="32"/>
          <w:lang w:eastAsia="zh-CN"/>
        </w:rPr>
        <w:t>责任单位：市卫健委、市民政局、市数据局、市医保局</w:t>
      </w:r>
      <w:r>
        <w:rPr>
          <w:rFonts w:hint="eastAsia" w:ascii="Times New Roman" w:hAnsi="Times New Roman" w:cs="方正仿宋_GBK"/>
          <w:snapToGrid/>
          <w:color w:val="auto"/>
          <w:kern w:val="21"/>
          <w:szCs w:val="32"/>
          <w:lang w:eastAsia="zh-CN"/>
        </w:rPr>
        <w:t>）</w:t>
      </w:r>
    </w:p>
    <w:p w14:paraId="60CA3324">
      <w:pPr>
        <w:widowControl w:val="0"/>
        <w:kinsoku/>
        <w:overflowPunct w:val="0"/>
        <w:autoSpaceDE/>
        <w:autoSpaceDN/>
        <w:adjustRightInd/>
        <w:snapToGrid/>
        <w:ind w:firstLine="632" w:firstLineChars="200"/>
        <w:jc w:val="both"/>
        <w:textAlignment w:val="auto"/>
        <w:rPr>
          <w:rFonts w:ascii="Times New Roman" w:hAnsi="Times New Roman" w:cs="方正仿宋_GBK"/>
          <w:snapToGrid/>
          <w:color w:val="auto"/>
          <w:kern w:val="21"/>
          <w:szCs w:val="32"/>
          <w:lang w:eastAsia="zh-CN"/>
        </w:rPr>
      </w:pPr>
      <w:r>
        <w:rPr>
          <w:rFonts w:hint="eastAsia" w:ascii="Times New Roman" w:hAnsi="Times New Roman" w:eastAsia="方正楷体_GBK" w:cs="方正楷体_GBK"/>
          <w:snapToGrid/>
          <w:color w:val="auto"/>
          <w:kern w:val="21"/>
          <w:szCs w:val="32"/>
          <w:lang w:eastAsia="zh-CN"/>
        </w:rPr>
        <w:t>10．搭建消费供给平台。</w:t>
      </w:r>
      <w:r>
        <w:rPr>
          <w:rFonts w:hint="eastAsia" w:ascii="Times New Roman" w:hAnsi="Times New Roman" w:cs="方正仿宋_GBK"/>
          <w:snapToGrid/>
          <w:color w:val="auto"/>
          <w:kern w:val="21"/>
          <w:szCs w:val="32"/>
          <w:lang w:eastAsia="zh-CN"/>
        </w:rPr>
        <w:t>聚焦老年群体生活需求，构建“一刻钟便民生活服务圈”，以农贸市场改造升级为抓手，打造安全舒适、便捷高效的老年友好型购物场所（商业综合体）。引导电商平台、大型商超、品牌门店制定老年主题促销活动计划，吸引老年群体参与线上线下消费，每年开展银发主题活动不少于5场。在有条件的社区服务机构（商场）设置适老生活体验中心（店），汇聚健康服务产品、居家照护用品、生活辅具用品等商品，提供家门口的体验、租赁等服务。支持居民加大老年坐浴设备、适老床头柜、床边扶手等适老化家居产品改造。（</w:t>
      </w:r>
      <w:r>
        <w:rPr>
          <w:rFonts w:hint="eastAsia" w:ascii="Times New Roman" w:hAnsi="Times New Roman" w:eastAsia="方正楷体_GBK" w:cs="方正楷体_GBK"/>
          <w:snapToGrid/>
          <w:color w:val="auto"/>
          <w:kern w:val="21"/>
          <w:szCs w:val="32"/>
          <w:lang w:eastAsia="zh-CN"/>
        </w:rPr>
        <w:t>责任单位：市商务局、市民政局、市卫健委</w:t>
      </w:r>
      <w:r>
        <w:rPr>
          <w:rFonts w:hint="eastAsia" w:ascii="Times New Roman" w:hAnsi="Times New Roman" w:cs="方正仿宋_GBK"/>
          <w:snapToGrid/>
          <w:color w:val="auto"/>
          <w:kern w:val="21"/>
          <w:szCs w:val="32"/>
          <w:lang w:eastAsia="zh-CN"/>
        </w:rPr>
        <w:t>）</w:t>
      </w:r>
    </w:p>
    <w:p w14:paraId="3CED25BC">
      <w:pPr>
        <w:widowControl w:val="0"/>
        <w:numPr>
          <w:ilvl w:val="0"/>
          <w:numId w:val="1"/>
        </w:numPr>
        <w:kinsoku/>
        <w:overflowPunct w:val="0"/>
        <w:autoSpaceDE/>
        <w:autoSpaceDN/>
        <w:adjustRightInd/>
        <w:snapToGrid/>
        <w:ind w:firstLine="632" w:firstLineChars="200"/>
        <w:jc w:val="both"/>
        <w:textAlignment w:val="auto"/>
        <w:rPr>
          <w:rFonts w:ascii="Times New Roman" w:hAnsi="Times New Roman" w:cs="方正仿宋_GBK"/>
          <w:snapToGrid/>
          <w:color w:val="auto"/>
          <w:kern w:val="21"/>
          <w:szCs w:val="32"/>
          <w:lang w:eastAsia="zh-CN"/>
        </w:rPr>
      </w:pPr>
      <w:r>
        <w:rPr>
          <w:rFonts w:hint="eastAsia" w:ascii="Times New Roman" w:hAnsi="Times New Roman" w:eastAsia="方正楷体_GBK" w:cs="方正楷体_GBK"/>
          <w:snapToGrid/>
          <w:color w:val="auto"/>
          <w:kern w:val="21"/>
          <w:szCs w:val="32"/>
          <w:lang w:eastAsia="zh-CN"/>
        </w:rPr>
        <w:t>提升文体消费活力</w:t>
      </w:r>
      <w:r>
        <w:rPr>
          <w:rFonts w:hint="eastAsia" w:ascii="Times New Roman" w:hAnsi="Times New Roman" w:cs="方正仿宋_GBK"/>
          <w:snapToGrid/>
          <w:color w:val="auto"/>
          <w:kern w:val="21"/>
          <w:szCs w:val="32"/>
          <w:lang w:eastAsia="zh-CN"/>
        </w:rPr>
        <w:t>。</w:t>
      </w:r>
      <w:r>
        <w:rPr>
          <w:rFonts w:hint="eastAsia" w:ascii="Times New Roman" w:hAnsi="Times New Roman" w:cs="方正仿宋_GBK"/>
          <w:color w:val="auto"/>
          <w:kern w:val="21"/>
          <w:szCs w:val="32"/>
        </w:rPr>
        <w:t>深入探索江阴“五大文化”品牌中与银发群体适配度高的特色项目，</w:t>
      </w:r>
      <w:r>
        <w:rPr>
          <w:rFonts w:hint="eastAsia" w:ascii="方正仿宋_GBK" w:hAnsi="方正仿宋_GBK" w:cs="方正仿宋_GBK"/>
          <w:color w:val="auto"/>
          <w:szCs w:val="32"/>
          <w:lang w:eastAsia="zh-CN"/>
        </w:rPr>
        <w:t>支持举办文旅消费季等消费促进活动，构建多样化夜间消费场景。组织办好徐霞客国际旅游节、</w:t>
      </w:r>
      <w:r>
        <w:rPr>
          <w:rFonts w:hint="eastAsia" w:ascii="Times New Roman" w:hAnsi="Times New Roman" w:cs="方正仿宋_GBK"/>
          <w:color w:val="auto"/>
          <w:kern w:val="21"/>
          <w:szCs w:val="32"/>
          <w:lang w:eastAsia="zh-CN"/>
        </w:rPr>
        <w:t>江阴</w:t>
      </w:r>
      <w:r>
        <w:rPr>
          <w:rFonts w:hint="eastAsia" w:ascii="方正仿宋_GBK" w:hAnsi="方正仿宋_GBK" w:cs="方正仿宋_GBK"/>
          <w:color w:val="auto"/>
          <w:szCs w:val="32"/>
          <w:lang w:eastAsia="zh-CN"/>
        </w:rPr>
        <w:t>半程</w:t>
      </w:r>
      <w:r>
        <w:rPr>
          <w:rFonts w:hint="eastAsia" w:ascii="Times New Roman" w:hAnsi="Times New Roman" w:cs="方正仿宋_GBK"/>
          <w:snapToGrid/>
          <w:color w:val="auto"/>
          <w:kern w:val="21"/>
          <w:szCs w:val="32"/>
          <w:lang w:eastAsia="zh-CN"/>
        </w:rPr>
        <w:t>马拉松、8.8全民健身系列等品牌活动，支持企业和各类社会组织持续办好老年群体赛事活动，提高办赛品质和效益。</w:t>
      </w:r>
      <w:r>
        <w:rPr>
          <w:rFonts w:ascii="Times New Roman" w:hAnsi="Times New Roman" w:cs="方正仿宋_GBK"/>
          <w:color w:val="auto"/>
          <w:kern w:val="21"/>
          <w:szCs w:val="32"/>
          <w:lang w:eastAsia="zh-CN"/>
        </w:rPr>
        <w:t>利用</w:t>
      </w:r>
      <w:r>
        <w:rPr>
          <w:rFonts w:hint="eastAsia" w:ascii="Times New Roman" w:hAnsi="Times New Roman" w:cs="方正仿宋_GBK"/>
          <w:color w:val="auto"/>
          <w:kern w:val="21"/>
          <w:szCs w:val="32"/>
          <w:lang w:eastAsia="zh-CN"/>
        </w:rPr>
        <w:t>江阴音乐厅</w:t>
      </w:r>
      <w:r>
        <w:rPr>
          <w:rFonts w:ascii="Times New Roman" w:hAnsi="Times New Roman" w:cs="方正仿宋_GBK"/>
          <w:color w:val="auto"/>
          <w:kern w:val="21"/>
          <w:szCs w:val="32"/>
          <w:lang w:eastAsia="zh-CN"/>
        </w:rPr>
        <w:t>、文</w:t>
      </w:r>
      <w:r>
        <w:rPr>
          <w:rFonts w:hint="eastAsia" w:ascii="Times New Roman" w:hAnsi="Times New Roman" w:cs="方正仿宋_GBK"/>
          <w:color w:val="auto"/>
          <w:kern w:val="21"/>
          <w:szCs w:val="32"/>
          <w:lang w:eastAsia="zh-CN"/>
        </w:rPr>
        <w:t>化馆、博物</w:t>
      </w:r>
      <w:r>
        <w:rPr>
          <w:rFonts w:ascii="Times New Roman" w:hAnsi="Times New Roman" w:cs="方正仿宋_GBK"/>
          <w:color w:val="auto"/>
          <w:kern w:val="21"/>
          <w:szCs w:val="32"/>
          <w:lang w:eastAsia="zh-CN"/>
        </w:rPr>
        <w:t>馆、大剧院</w:t>
      </w:r>
      <w:r>
        <w:rPr>
          <w:rFonts w:hint="eastAsia" w:ascii="Times New Roman" w:hAnsi="Times New Roman" w:cs="方正仿宋_GBK"/>
          <w:color w:val="auto"/>
          <w:kern w:val="21"/>
          <w:szCs w:val="32"/>
          <w:lang w:eastAsia="zh-CN"/>
        </w:rPr>
        <w:t>、小剧场</w:t>
      </w:r>
      <w:r>
        <w:rPr>
          <w:rFonts w:ascii="Times New Roman" w:hAnsi="Times New Roman" w:cs="方正仿宋_GBK"/>
          <w:color w:val="auto"/>
          <w:kern w:val="21"/>
          <w:szCs w:val="32"/>
          <w:lang w:eastAsia="zh-CN"/>
        </w:rPr>
        <w:t>等场馆资源，举办</w:t>
      </w:r>
      <w:r>
        <w:rPr>
          <w:rFonts w:hint="eastAsia" w:ascii="Times New Roman" w:hAnsi="Times New Roman" w:cs="方正仿宋_GBK"/>
          <w:color w:val="auto"/>
          <w:kern w:val="21"/>
          <w:szCs w:val="32"/>
          <w:lang w:eastAsia="zh-CN"/>
        </w:rPr>
        <w:t>长三角江南丝竹展演等</w:t>
      </w:r>
      <w:r>
        <w:rPr>
          <w:rFonts w:ascii="Times New Roman" w:hAnsi="Times New Roman" w:cs="方正仿宋_GBK"/>
          <w:color w:val="auto"/>
          <w:kern w:val="21"/>
          <w:szCs w:val="32"/>
          <w:lang w:eastAsia="zh-CN"/>
        </w:rPr>
        <w:t>重量级民乐</w:t>
      </w:r>
      <w:r>
        <w:rPr>
          <w:rFonts w:hint="eastAsia" w:ascii="Times New Roman" w:hAnsi="Times New Roman" w:cs="方正仿宋_GBK"/>
          <w:color w:val="auto"/>
          <w:kern w:val="21"/>
          <w:szCs w:val="32"/>
          <w:lang w:eastAsia="zh-CN"/>
        </w:rPr>
        <w:t>赛事和</w:t>
      </w:r>
      <w:r>
        <w:rPr>
          <w:rFonts w:ascii="Times New Roman" w:hAnsi="Times New Roman" w:cs="方正仿宋_GBK"/>
          <w:color w:val="auto"/>
          <w:kern w:val="21"/>
          <w:szCs w:val="32"/>
          <w:lang w:eastAsia="zh-CN"/>
        </w:rPr>
        <w:t>演出活动，组织锡剧、龙舞、二胡</w:t>
      </w:r>
      <w:r>
        <w:rPr>
          <w:rFonts w:hint="eastAsia" w:ascii="Times New Roman" w:hAnsi="Times New Roman" w:cs="方正仿宋_GBK"/>
          <w:color w:val="auto"/>
          <w:kern w:val="21"/>
          <w:szCs w:val="32"/>
          <w:lang w:eastAsia="zh-CN"/>
        </w:rPr>
        <w:t>艺术</w:t>
      </w:r>
      <w:r>
        <w:rPr>
          <w:rFonts w:ascii="Times New Roman" w:hAnsi="Times New Roman" w:cs="方正仿宋_GBK"/>
          <w:color w:val="auto"/>
          <w:kern w:val="21"/>
          <w:szCs w:val="32"/>
          <w:lang w:eastAsia="zh-CN"/>
        </w:rPr>
        <w:t>等非物质文化遗产的展演等，丰富老年</w:t>
      </w:r>
      <w:r>
        <w:rPr>
          <w:rFonts w:hint="eastAsia" w:ascii="Times New Roman" w:hAnsi="Times New Roman" w:cs="方正仿宋_GBK"/>
          <w:color w:val="auto"/>
          <w:kern w:val="21"/>
          <w:szCs w:val="32"/>
          <w:lang w:eastAsia="zh-CN"/>
        </w:rPr>
        <w:t>人</w:t>
      </w:r>
      <w:r>
        <w:rPr>
          <w:rFonts w:ascii="Times New Roman" w:hAnsi="Times New Roman" w:cs="方正仿宋_GBK"/>
          <w:color w:val="auto"/>
          <w:kern w:val="21"/>
          <w:szCs w:val="32"/>
          <w:lang w:eastAsia="zh-CN"/>
        </w:rPr>
        <w:t>文化</w:t>
      </w:r>
      <w:r>
        <w:rPr>
          <w:rFonts w:hint="eastAsia" w:ascii="Times New Roman" w:hAnsi="Times New Roman" w:cs="方正仿宋_GBK"/>
          <w:color w:val="auto"/>
          <w:kern w:val="21"/>
          <w:szCs w:val="32"/>
          <w:lang w:eastAsia="zh-CN"/>
        </w:rPr>
        <w:t>消费场景</w:t>
      </w:r>
      <w:r>
        <w:rPr>
          <w:rFonts w:ascii="Times New Roman" w:hAnsi="Times New Roman" w:cs="方正仿宋_GBK"/>
          <w:color w:val="auto"/>
          <w:kern w:val="21"/>
          <w:szCs w:val="32"/>
          <w:lang w:eastAsia="zh-CN"/>
        </w:rPr>
        <w:t>需求。</w:t>
      </w:r>
      <w:r>
        <w:rPr>
          <w:rFonts w:hint="eastAsia" w:ascii="Times New Roman" w:hAnsi="Times New Roman" w:cs="方正仿宋_GBK"/>
          <w:snapToGrid/>
          <w:color w:val="auto"/>
          <w:kern w:val="21"/>
          <w:szCs w:val="32"/>
          <w:lang w:eastAsia="zh-CN"/>
        </w:rPr>
        <w:t>（</w:t>
      </w:r>
      <w:bookmarkStart w:id="0" w:name="OLE_LINK2"/>
      <w:bookmarkStart w:id="1" w:name="OLE_LINK1"/>
      <w:r>
        <w:rPr>
          <w:rFonts w:hint="eastAsia" w:ascii="Times New Roman" w:hAnsi="Times New Roman" w:eastAsia="方正楷体_GBK" w:cs="方正楷体_GBK"/>
          <w:snapToGrid/>
          <w:color w:val="auto"/>
          <w:kern w:val="21"/>
          <w:szCs w:val="32"/>
          <w:lang w:eastAsia="zh-CN"/>
        </w:rPr>
        <w:t>责任单位：</w:t>
      </w:r>
      <w:bookmarkEnd w:id="0"/>
      <w:bookmarkEnd w:id="1"/>
      <w:r>
        <w:rPr>
          <w:rFonts w:hint="eastAsia" w:ascii="Times New Roman" w:hAnsi="Times New Roman" w:eastAsia="方正楷体_GBK" w:cs="方正楷体_GBK"/>
          <w:snapToGrid/>
          <w:color w:val="auto"/>
          <w:kern w:val="21"/>
          <w:szCs w:val="32"/>
          <w:lang w:eastAsia="zh-CN"/>
        </w:rPr>
        <w:t>市文体广旅局、市卫健委、市文商旅集团</w:t>
      </w:r>
      <w:r>
        <w:rPr>
          <w:rFonts w:hint="eastAsia" w:ascii="Times New Roman" w:hAnsi="Times New Roman" w:cs="方正仿宋_GBK"/>
          <w:snapToGrid/>
          <w:color w:val="auto"/>
          <w:kern w:val="21"/>
          <w:szCs w:val="32"/>
          <w:lang w:eastAsia="zh-CN"/>
        </w:rPr>
        <w:t>）</w:t>
      </w:r>
    </w:p>
    <w:p w14:paraId="56C2B446">
      <w:pPr>
        <w:widowControl w:val="0"/>
        <w:kinsoku/>
        <w:overflowPunct w:val="0"/>
        <w:autoSpaceDE/>
        <w:autoSpaceDN/>
        <w:adjustRightInd/>
        <w:snapToGrid/>
        <w:ind w:firstLine="632" w:firstLineChars="200"/>
        <w:jc w:val="both"/>
        <w:rPr>
          <w:rFonts w:ascii="Times New Roman" w:hAnsi="Times New Roman" w:eastAsia="方正楷体_GBK" w:cs="方正楷体_GBK"/>
          <w:b/>
          <w:bCs/>
          <w:snapToGrid/>
          <w:color w:val="auto"/>
          <w:kern w:val="21"/>
          <w:szCs w:val="32"/>
          <w:lang w:eastAsia="zh-CN"/>
        </w:rPr>
      </w:pPr>
      <w:r>
        <w:rPr>
          <w:rFonts w:hint="eastAsia" w:ascii="Times New Roman" w:hAnsi="Times New Roman" w:eastAsia="方正楷体_GBK" w:cs="方正楷体_GBK"/>
          <w:b/>
          <w:bCs/>
          <w:snapToGrid/>
          <w:color w:val="auto"/>
          <w:kern w:val="21"/>
          <w:szCs w:val="32"/>
          <w:lang w:eastAsia="zh-CN"/>
        </w:rPr>
        <w:t>（三）推进银发产业强链补链行动</w:t>
      </w:r>
    </w:p>
    <w:p w14:paraId="069583BD">
      <w:pPr>
        <w:widowControl w:val="0"/>
        <w:kinsoku/>
        <w:overflowPunct w:val="0"/>
        <w:autoSpaceDE/>
        <w:autoSpaceDN/>
        <w:adjustRightInd/>
        <w:snapToGrid/>
        <w:ind w:firstLine="632" w:firstLineChars="200"/>
        <w:jc w:val="both"/>
        <w:textAlignment w:val="auto"/>
        <w:rPr>
          <w:rFonts w:ascii="Times New Roman" w:hAnsi="Times New Roman" w:cs="方正仿宋_GBK"/>
          <w:snapToGrid/>
          <w:color w:val="auto"/>
          <w:kern w:val="21"/>
          <w:szCs w:val="32"/>
          <w:lang w:eastAsia="zh-CN"/>
        </w:rPr>
      </w:pPr>
      <w:r>
        <w:rPr>
          <w:rFonts w:hint="eastAsia" w:ascii="Times New Roman" w:hAnsi="Times New Roman" w:eastAsia="方正楷体_GBK" w:cs="方正楷体_GBK"/>
          <w:snapToGrid/>
          <w:color w:val="auto"/>
          <w:kern w:val="21"/>
          <w:szCs w:val="32"/>
          <w:lang w:eastAsia="zh-CN"/>
        </w:rPr>
        <w:t>12．引导</w:t>
      </w:r>
      <w:r>
        <w:rPr>
          <w:rFonts w:hint="eastAsia" w:ascii="方正楷体_GBK" w:hAnsi="方正楷体_GBK" w:eastAsia="方正楷体_GBK" w:cs="方正楷体_GBK"/>
          <w:color w:val="auto"/>
          <w:szCs w:val="32"/>
          <w:lang w:eastAsia="zh-CN"/>
        </w:rPr>
        <w:t>发展适老特色穿戴。</w:t>
      </w:r>
      <w:r>
        <w:rPr>
          <w:rFonts w:hint="eastAsia" w:cs="方正仿宋_GBK"/>
          <w:color w:val="auto"/>
          <w:szCs w:val="32"/>
          <w:lang w:eastAsia="zh-CN"/>
        </w:rPr>
        <w:t>发挥现有产业优势，积极拓展适老化服装产品，</w:t>
      </w:r>
      <w:r>
        <w:rPr>
          <w:rFonts w:hint="eastAsia" w:ascii="方正仿宋_GBK" w:hAnsi="方正仿宋_GBK" w:cs="方正仿宋_GBK"/>
          <w:color w:val="auto"/>
          <w:sz w:val="31"/>
          <w:szCs w:val="31"/>
          <w:lang w:eastAsia="zh-CN"/>
        </w:rPr>
        <w:t>鼓励纺织服装</w:t>
      </w:r>
      <w:r>
        <w:rPr>
          <w:rFonts w:hint="eastAsia" w:cs="方正仿宋_GBK"/>
          <w:color w:val="auto"/>
          <w:szCs w:val="32"/>
          <w:lang w:eastAsia="zh-CN"/>
        </w:rPr>
        <w:t>等终端消费品制造企业，积极应对人口老龄化趋势，精准对接银发群体需求</w:t>
      </w:r>
      <w:r>
        <w:rPr>
          <w:rFonts w:hint="eastAsia" w:ascii="Times New Roman" w:hAnsi="Times New Roman" w:cs="方正仿宋_GBK"/>
          <w:color w:val="auto"/>
          <w:szCs w:val="32"/>
          <w:lang w:eastAsia="zh-CN"/>
        </w:rPr>
        <w:t>，加大舒适时尚、易护理、易穿脱的适老化服装研发设计，大力开发具有可便携药品（眼镜）等日常用品口袋、集成方便拆卸的支撑垫或压力袜、带有防水层（保暖层）等功能性特色服装穿戴，</w:t>
      </w:r>
      <w:r>
        <w:rPr>
          <w:rFonts w:hint="eastAsia" w:ascii="方正仿宋_GBK" w:hAnsi="方正仿宋_GBK" w:cs="方正仿宋_GBK"/>
          <w:color w:val="auto"/>
          <w:sz w:val="31"/>
          <w:szCs w:val="31"/>
          <w:lang w:eastAsia="zh-CN"/>
        </w:rPr>
        <w:t>加大产品宣传推广，积极开拓国内外市场，</w:t>
      </w:r>
      <w:r>
        <w:rPr>
          <w:rFonts w:hint="eastAsia" w:ascii="Times New Roman" w:hAnsi="Times New Roman" w:cs="方正仿宋_GBK"/>
          <w:color w:val="auto"/>
          <w:szCs w:val="32"/>
          <w:lang w:eastAsia="zh-CN"/>
        </w:rPr>
        <w:t>进一步提升壮大纺织服装产业规模。</w:t>
      </w:r>
      <w:r>
        <w:rPr>
          <w:rFonts w:hint="eastAsia" w:ascii="Times New Roman" w:hAnsi="Times New Roman" w:cs="方正仿宋_GBK"/>
          <w:snapToGrid/>
          <w:color w:val="auto"/>
          <w:kern w:val="21"/>
          <w:szCs w:val="32"/>
          <w:lang w:eastAsia="zh-CN"/>
        </w:rPr>
        <w:t>（</w:t>
      </w:r>
      <w:bookmarkStart w:id="2" w:name="OLE_LINK4"/>
      <w:bookmarkStart w:id="3" w:name="OLE_LINK3"/>
      <w:r>
        <w:rPr>
          <w:rFonts w:hint="eastAsia" w:ascii="Times New Roman" w:hAnsi="Times New Roman" w:eastAsia="方正楷体_GBK" w:cs="方正楷体_GBK"/>
          <w:snapToGrid/>
          <w:color w:val="auto"/>
          <w:kern w:val="21"/>
          <w:szCs w:val="32"/>
          <w:lang w:eastAsia="zh-CN"/>
        </w:rPr>
        <w:t>责任单位：</w:t>
      </w:r>
      <w:bookmarkEnd w:id="2"/>
      <w:bookmarkEnd w:id="3"/>
      <w:r>
        <w:rPr>
          <w:rFonts w:hint="eastAsia" w:ascii="Times New Roman" w:hAnsi="Times New Roman" w:eastAsia="方正楷体_GBK" w:cs="方正楷体_GBK"/>
          <w:snapToGrid/>
          <w:color w:val="auto"/>
          <w:kern w:val="21"/>
          <w:szCs w:val="32"/>
          <w:lang w:eastAsia="zh-CN"/>
        </w:rPr>
        <w:t>市工信局、市卫健委</w:t>
      </w:r>
      <w:r>
        <w:rPr>
          <w:rFonts w:hint="eastAsia" w:ascii="Times New Roman" w:hAnsi="Times New Roman" w:cs="方正仿宋_GBK"/>
          <w:snapToGrid/>
          <w:color w:val="auto"/>
          <w:kern w:val="21"/>
          <w:szCs w:val="32"/>
          <w:lang w:eastAsia="zh-CN"/>
        </w:rPr>
        <w:t>）</w:t>
      </w:r>
    </w:p>
    <w:p w14:paraId="6CE8DA0B">
      <w:pPr>
        <w:widowControl w:val="0"/>
        <w:kinsoku/>
        <w:overflowPunct w:val="0"/>
        <w:autoSpaceDE/>
        <w:autoSpaceDN/>
        <w:adjustRightInd/>
        <w:snapToGrid/>
        <w:ind w:firstLine="632" w:firstLineChars="200"/>
        <w:jc w:val="both"/>
        <w:rPr>
          <w:rFonts w:ascii="Times New Roman" w:hAnsi="Times New Roman" w:cs="方正仿宋_GBK"/>
          <w:snapToGrid/>
          <w:color w:val="auto"/>
          <w:kern w:val="21"/>
          <w:szCs w:val="32"/>
          <w:lang w:eastAsia="zh-CN"/>
        </w:rPr>
      </w:pPr>
      <w:r>
        <w:rPr>
          <w:rFonts w:hint="eastAsia" w:ascii="Times New Roman" w:hAnsi="Times New Roman" w:eastAsia="方正楷体_GBK" w:cs="方正楷体_GBK"/>
          <w:snapToGrid/>
          <w:color w:val="auto"/>
          <w:kern w:val="21"/>
          <w:szCs w:val="32"/>
          <w:lang w:eastAsia="zh-CN"/>
        </w:rPr>
        <w:t>13．</w:t>
      </w:r>
      <w:r>
        <w:rPr>
          <w:rFonts w:hint="eastAsia" w:ascii="方正楷体_GBK" w:hAnsi="方正楷体_GBK" w:eastAsia="方正楷体_GBK" w:cs="方正楷体_GBK"/>
          <w:color w:val="auto"/>
          <w:szCs w:val="32"/>
        </w:rPr>
        <w:t>加快发展</w:t>
      </w:r>
      <w:r>
        <w:rPr>
          <w:rFonts w:ascii="方正楷体_GBK" w:hAnsi="方正楷体_GBK" w:eastAsia="方正楷体_GBK" w:cs="方正楷体_GBK"/>
          <w:color w:val="auto"/>
          <w:szCs w:val="32"/>
        </w:rPr>
        <w:t>康复辅助器具。</w:t>
      </w:r>
      <w:r>
        <w:rPr>
          <w:rFonts w:hint="eastAsia" w:cs="方正仿宋_GBK"/>
          <w:color w:val="auto"/>
          <w:szCs w:val="32"/>
        </w:rPr>
        <w:t>依托现有产业特色和产业基础，引导万事兴</w:t>
      </w:r>
      <w:r>
        <w:rPr>
          <w:rFonts w:hint="eastAsia" w:cs="方正仿宋_GBK"/>
          <w:color w:val="auto"/>
          <w:szCs w:val="32"/>
          <w:lang w:eastAsia="zh-CN"/>
        </w:rPr>
        <w:t>、新盛医疗</w:t>
      </w:r>
      <w:r>
        <w:rPr>
          <w:rFonts w:hint="eastAsia" w:cs="方正仿宋_GBK"/>
          <w:color w:val="auto"/>
          <w:szCs w:val="32"/>
        </w:rPr>
        <w:t>等</w:t>
      </w:r>
      <w:r>
        <w:rPr>
          <w:rFonts w:hint="eastAsia" w:cs="方正仿宋_GBK"/>
          <w:color w:val="auto"/>
          <w:szCs w:val="32"/>
          <w:lang w:eastAsia="zh-CN"/>
        </w:rPr>
        <w:t>医疗器械</w:t>
      </w:r>
      <w:r>
        <w:rPr>
          <w:rFonts w:hint="eastAsia" w:cs="方正仿宋_GBK"/>
          <w:color w:val="auto"/>
          <w:szCs w:val="32"/>
        </w:rPr>
        <w:t>企业，积极开发康复辅助产品，提升手动轮椅车、手动病床、腋下拐杖、助行器、手拐杖、坐厕椅、沐浴椅等</w:t>
      </w:r>
      <w:r>
        <w:rPr>
          <w:rFonts w:cs="方正仿宋_GBK"/>
          <w:color w:val="auto"/>
          <w:szCs w:val="32"/>
        </w:rPr>
        <w:t>传统器具供给</w:t>
      </w:r>
      <w:r>
        <w:rPr>
          <w:rFonts w:hint="eastAsia" w:cs="方正仿宋_GBK"/>
          <w:color w:val="auto"/>
          <w:szCs w:val="32"/>
        </w:rPr>
        <w:t>能力；鼓励阳光卫医</w:t>
      </w:r>
      <w:r>
        <w:rPr>
          <w:rFonts w:hint="eastAsia" w:cs="方正仿宋_GBK"/>
          <w:color w:val="auto"/>
          <w:szCs w:val="32"/>
          <w:lang w:eastAsia="zh-CN"/>
        </w:rPr>
        <w:t>、汉思雅</w:t>
      </w:r>
      <w:r>
        <w:rPr>
          <w:rFonts w:hint="eastAsia" w:cs="方正仿宋_GBK"/>
          <w:color w:val="auto"/>
          <w:szCs w:val="32"/>
        </w:rPr>
        <w:t>等生产医卫护品企业，积极</w:t>
      </w:r>
      <w:r>
        <w:rPr>
          <w:rFonts w:cs="方正仿宋_GBK"/>
          <w:color w:val="auto"/>
          <w:szCs w:val="32"/>
        </w:rPr>
        <w:t>发展</w:t>
      </w:r>
      <w:r>
        <w:rPr>
          <w:rFonts w:hint="eastAsia" w:cs="方正仿宋_GBK"/>
          <w:color w:val="auto"/>
          <w:szCs w:val="32"/>
        </w:rPr>
        <w:t>失禁用品、气悬浮翻身床单、医用止滑靠垫</w:t>
      </w:r>
      <w:r>
        <w:rPr>
          <w:rFonts w:cs="方正仿宋_GBK"/>
          <w:color w:val="auto"/>
          <w:szCs w:val="32"/>
        </w:rPr>
        <w:t>等生活照护产品</w:t>
      </w:r>
      <w:r>
        <w:rPr>
          <w:rFonts w:hint="eastAsia" w:cs="方正仿宋_GBK"/>
          <w:color w:val="auto"/>
          <w:szCs w:val="32"/>
        </w:rPr>
        <w:t>；</w:t>
      </w:r>
      <w:r>
        <w:rPr>
          <w:rFonts w:hint="eastAsia" w:cs="方正仿宋_GBK"/>
          <w:color w:val="auto"/>
          <w:szCs w:val="32"/>
          <w:lang w:eastAsia="zh-CN"/>
        </w:rPr>
        <w:t>鼓励</w:t>
      </w:r>
      <w:r>
        <w:rPr>
          <w:rFonts w:hint="eastAsia" w:cs="方正仿宋_GBK"/>
          <w:color w:val="auto"/>
          <w:szCs w:val="32"/>
          <w:lang w:eastAsia="zh-CN"/>
        </w:rPr>
        <w:t>年欢科技、华士医疗器械</w:t>
      </w:r>
      <w:r>
        <w:rPr>
          <w:rFonts w:hint="eastAsia" w:cs="方正仿宋_GBK"/>
          <w:color w:val="auto"/>
          <w:szCs w:val="32"/>
        </w:rPr>
        <w:t>等生产医疗康复产品企业，积极开发</w:t>
      </w:r>
      <w:r>
        <w:rPr>
          <w:rFonts w:cs="方正仿宋_GBK"/>
          <w:color w:val="auto"/>
          <w:szCs w:val="32"/>
        </w:rPr>
        <w:t>上肢立体康复系统</w:t>
      </w:r>
      <w:r>
        <w:rPr>
          <w:rFonts w:hint="eastAsia" w:cs="方正仿宋_GBK"/>
          <w:color w:val="auto"/>
          <w:szCs w:val="32"/>
        </w:rPr>
        <w:t>、</w:t>
      </w:r>
      <w:r>
        <w:rPr>
          <w:rFonts w:cs="方正仿宋_GBK"/>
          <w:color w:val="auto"/>
          <w:szCs w:val="32"/>
        </w:rPr>
        <w:t>下肢外骨骼分关节</w:t>
      </w:r>
      <w:r>
        <w:rPr>
          <w:rFonts w:hint="eastAsia" w:cs="方正仿宋_GBK"/>
          <w:color w:val="auto"/>
          <w:szCs w:val="32"/>
        </w:rPr>
        <w:t>、</w:t>
      </w:r>
      <w:r>
        <w:rPr>
          <w:rFonts w:cs="方正仿宋_GBK"/>
          <w:color w:val="auto"/>
          <w:szCs w:val="32"/>
        </w:rPr>
        <w:t>椎柱侧弯康复设备</w:t>
      </w:r>
      <w:r>
        <w:rPr>
          <w:rFonts w:hint="eastAsia" w:cs="方正仿宋_GBK"/>
          <w:color w:val="auto"/>
          <w:szCs w:val="32"/>
        </w:rPr>
        <w:t>、膝关节助行车、助行机器人</w:t>
      </w:r>
      <w:r>
        <w:rPr>
          <w:rFonts w:cs="方正仿宋_GBK"/>
          <w:color w:val="auto"/>
          <w:szCs w:val="32"/>
        </w:rPr>
        <w:t>等</w:t>
      </w:r>
      <w:r>
        <w:rPr>
          <w:rFonts w:hint="eastAsia" w:cs="方正仿宋_GBK"/>
          <w:color w:val="auto"/>
          <w:szCs w:val="32"/>
        </w:rPr>
        <w:t>辅助</w:t>
      </w:r>
      <w:r>
        <w:rPr>
          <w:rFonts w:cs="方正仿宋_GBK"/>
          <w:color w:val="auto"/>
          <w:szCs w:val="32"/>
        </w:rPr>
        <w:t>设备</w:t>
      </w:r>
      <w:r>
        <w:rPr>
          <w:rFonts w:hint="eastAsia" w:cs="方正仿宋_GBK"/>
          <w:color w:val="auto"/>
          <w:szCs w:val="32"/>
        </w:rPr>
        <w:t>并加快产业化进程。</w:t>
      </w:r>
      <w:r>
        <w:rPr>
          <w:rFonts w:hint="eastAsia" w:ascii="Times New Roman" w:hAnsi="Times New Roman" w:cs="方正仿宋_GBK"/>
          <w:snapToGrid/>
          <w:color w:val="auto"/>
          <w:kern w:val="21"/>
          <w:szCs w:val="32"/>
          <w:lang w:eastAsia="zh-CN"/>
        </w:rPr>
        <w:t>（</w:t>
      </w:r>
      <w:r>
        <w:rPr>
          <w:rFonts w:hint="eastAsia" w:ascii="Times New Roman" w:hAnsi="Times New Roman" w:eastAsia="方正楷体_GBK" w:cs="方正楷体_GBK"/>
          <w:snapToGrid/>
          <w:color w:val="auto"/>
          <w:kern w:val="21"/>
          <w:szCs w:val="32"/>
          <w:lang w:eastAsia="zh-CN"/>
        </w:rPr>
        <w:t>责任单位：市工信局、市民政局、市卫健委</w:t>
      </w:r>
      <w:r>
        <w:rPr>
          <w:rFonts w:hint="eastAsia" w:ascii="Times New Roman" w:hAnsi="Times New Roman" w:cs="方正仿宋_GBK"/>
          <w:snapToGrid/>
          <w:color w:val="auto"/>
          <w:kern w:val="21"/>
          <w:szCs w:val="32"/>
          <w:lang w:eastAsia="zh-CN"/>
        </w:rPr>
        <w:t>）</w:t>
      </w:r>
    </w:p>
    <w:p w14:paraId="21822F2D">
      <w:pPr>
        <w:widowControl w:val="0"/>
        <w:kinsoku/>
        <w:overflowPunct w:val="0"/>
        <w:autoSpaceDE/>
        <w:autoSpaceDN/>
        <w:adjustRightInd/>
        <w:snapToGrid/>
        <w:ind w:firstLine="632" w:firstLineChars="200"/>
        <w:jc w:val="both"/>
        <w:rPr>
          <w:rFonts w:ascii="Times New Roman" w:hAnsi="Times New Roman" w:cs="方正仿宋_GBK"/>
          <w:snapToGrid/>
          <w:color w:val="auto"/>
          <w:kern w:val="21"/>
          <w:szCs w:val="32"/>
          <w:lang w:eastAsia="zh-CN"/>
        </w:rPr>
      </w:pPr>
      <w:r>
        <w:rPr>
          <w:rFonts w:hint="eastAsia" w:ascii="Times New Roman" w:hAnsi="Times New Roman" w:eastAsia="方正楷体_GBK" w:cs="方正楷体_GBK"/>
          <w:snapToGrid/>
          <w:color w:val="auto"/>
          <w:kern w:val="21"/>
          <w:szCs w:val="32"/>
          <w:lang w:eastAsia="zh-CN"/>
        </w:rPr>
        <w:t>14．</w:t>
      </w:r>
      <w:r>
        <w:rPr>
          <w:rFonts w:hint="eastAsia" w:ascii="方正楷体_GBK" w:hAnsi="方正楷体_GBK" w:eastAsia="方正楷体_GBK" w:cs="方正楷体_GBK"/>
          <w:color w:val="auto"/>
          <w:szCs w:val="32"/>
        </w:rPr>
        <w:t>鼓励发展生命健康</w:t>
      </w:r>
      <w:r>
        <w:rPr>
          <w:rFonts w:hint="eastAsia" w:ascii="方正楷体_GBK" w:hAnsi="方正楷体_GBK" w:eastAsia="方正楷体_GBK" w:cs="方正楷体_GBK"/>
          <w:color w:val="auto"/>
          <w:szCs w:val="32"/>
          <w:lang w:eastAsia="zh-CN"/>
        </w:rPr>
        <w:t>产品</w:t>
      </w:r>
      <w:r>
        <w:rPr>
          <w:rFonts w:hint="eastAsia" w:ascii="方正楷体_GBK" w:hAnsi="方正楷体_GBK" w:eastAsia="方正楷体_GBK" w:cs="方正楷体_GBK"/>
          <w:color w:val="auto"/>
          <w:szCs w:val="32"/>
        </w:rPr>
        <w:t>。</w:t>
      </w:r>
      <w:r>
        <w:rPr>
          <w:rFonts w:hint="eastAsia" w:ascii="Times New Roman" w:hAnsi="Times New Roman" w:cs="方正仿宋_GBK"/>
          <w:color w:val="auto"/>
          <w:szCs w:val="32"/>
        </w:rPr>
        <w:t>依托高新区生物医药特色产业园区，加大绿色、健康、营养等适老化保健品和功能性食品产品开发。</w:t>
      </w:r>
      <w:r>
        <w:rPr>
          <w:rFonts w:hint="eastAsia" w:ascii="Times New Roman" w:hAnsi="Times New Roman" w:cs="方正仿宋_GBK"/>
          <w:color w:val="auto"/>
          <w:szCs w:val="32"/>
          <w:lang w:eastAsia="zh-CN"/>
        </w:rPr>
        <w:t>鼓励</w:t>
      </w:r>
      <w:r>
        <w:rPr>
          <w:rFonts w:hint="eastAsia" w:ascii="Times New Roman" w:hAnsi="Times New Roman" w:cs="方正仿宋_GBK"/>
          <w:color w:val="auto"/>
          <w:szCs w:val="32"/>
          <w:lang w:eastAsia="zh-CN"/>
        </w:rPr>
        <w:t>重点生物医药企业和相关科研机构开展适老化产品联合技术攻关，鼓励天江药业、新申奥等龙头生物医药企业积极开发适用老年人的保健饮片、配方颗粒及益生菌、抗衰老等产品。</w:t>
      </w:r>
      <w:r>
        <w:rPr>
          <w:rFonts w:hint="eastAsia" w:ascii="Times New Roman" w:hAnsi="Times New Roman" w:cs="方正仿宋_GBK"/>
          <w:color w:val="auto"/>
          <w:szCs w:val="32"/>
        </w:rPr>
        <w:t>依托江阴市中医院医疗集团建设“银发中医药创新基地”，开发推广“药膳调理包”“四季养生茶”“四季膏方”等适老化中医保健产品。发挥龙砂中医、“致和堂”等品牌效应，传承推广中医处方、针灸理疗、推拿等符合老年人需求的中医适宜技术。</w:t>
      </w:r>
      <w:r>
        <w:rPr>
          <w:rFonts w:hint="eastAsia" w:ascii="Times New Roman" w:hAnsi="Times New Roman" w:cs="方正仿宋_GBK"/>
          <w:snapToGrid/>
          <w:color w:val="auto"/>
          <w:kern w:val="21"/>
          <w:szCs w:val="32"/>
          <w:lang w:eastAsia="zh-CN"/>
        </w:rPr>
        <w:t>（</w:t>
      </w:r>
      <w:r>
        <w:rPr>
          <w:rFonts w:hint="eastAsia" w:ascii="Times New Roman" w:hAnsi="Times New Roman" w:eastAsia="方正楷体_GBK" w:cs="方正楷体_GBK"/>
          <w:color w:val="auto"/>
          <w:kern w:val="21"/>
          <w:szCs w:val="32"/>
          <w:lang w:eastAsia="zh-CN"/>
        </w:rPr>
        <w:t>责任单位：</w:t>
      </w:r>
      <w:r>
        <w:rPr>
          <w:rFonts w:hint="eastAsia" w:ascii="Times New Roman" w:hAnsi="Times New Roman" w:eastAsia="方正楷体_GBK" w:cs="方正楷体_GBK"/>
          <w:snapToGrid/>
          <w:color w:val="auto"/>
          <w:kern w:val="21"/>
          <w:szCs w:val="32"/>
          <w:lang w:eastAsia="zh-CN"/>
        </w:rPr>
        <w:t>市科技局、市卫健委</w:t>
      </w:r>
      <w:r>
        <w:rPr>
          <w:rFonts w:hint="eastAsia" w:ascii="Times New Roman" w:hAnsi="Times New Roman" w:cs="方正仿宋_GBK"/>
          <w:snapToGrid/>
          <w:color w:val="auto"/>
          <w:kern w:val="21"/>
          <w:szCs w:val="32"/>
          <w:lang w:eastAsia="zh-CN"/>
        </w:rPr>
        <w:t>）</w:t>
      </w:r>
    </w:p>
    <w:p w14:paraId="4BF073A6">
      <w:pPr>
        <w:widowControl w:val="0"/>
        <w:kinsoku/>
        <w:overflowPunct w:val="0"/>
        <w:autoSpaceDE/>
        <w:autoSpaceDN/>
        <w:adjustRightInd/>
        <w:snapToGrid/>
        <w:ind w:firstLine="632" w:firstLineChars="200"/>
        <w:jc w:val="both"/>
        <w:rPr>
          <w:rFonts w:ascii="Times New Roman" w:hAnsi="Times New Roman" w:cs="方正仿宋_GBK"/>
          <w:snapToGrid/>
          <w:color w:val="auto"/>
          <w:kern w:val="21"/>
          <w:szCs w:val="32"/>
          <w:lang w:eastAsia="zh-CN"/>
        </w:rPr>
      </w:pPr>
      <w:r>
        <w:rPr>
          <w:rFonts w:hint="eastAsia" w:ascii="方正楷体_GBK" w:hAnsi="方正楷体_GBK" w:eastAsia="方正楷体_GBK" w:cs="方正楷体_GBK"/>
          <w:color w:val="auto"/>
          <w:szCs w:val="32"/>
        </w:rPr>
        <w:t>15．积极招引智慧康养企业。</w:t>
      </w:r>
      <w:r>
        <w:rPr>
          <w:rFonts w:hint="eastAsia" w:ascii="Times New Roman" w:hAnsi="Times New Roman" w:cs="方正仿宋_GBK"/>
          <w:color w:val="auto"/>
          <w:szCs w:val="32"/>
        </w:rPr>
        <w:t>依托绮山湖科创谷、</w:t>
      </w:r>
      <w:r>
        <w:rPr>
          <w:rFonts w:hint="eastAsia" w:ascii="Times New Roman" w:hAnsi="Times New Roman" w:cs="方正仿宋_GBK"/>
          <w:color w:val="auto"/>
          <w:szCs w:val="32"/>
          <w:lang w:eastAsia="zh-CN"/>
        </w:rPr>
        <w:t>南理工</w:t>
      </w:r>
      <w:r>
        <w:rPr>
          <w:rFonts w:hint="eastAsia" w:ascii="Times New Roman" w:hAnsi="Times New Roman" w:cs="方正仿宋_GBK"/>
          <w:color w:val="auto"/>
          <w:szCs w:val="32"/>
        </w:rPr>
        <w:t>创新港等科创载体，按照功能区和特色园区建设布局，聚焦银发产业重点领域，制定招商图谱，大力招引智慧产品制造企业。围绕健康管理，引进无创血糖监测智能穿戴设备、全身健康扫描智能镜、智能戒指、智能眼镜等智能穿戴设备企业。围绕辅助用具，引进智能轮椅、智能拐杖等企业；围绕养老监护，引进智能摄像头、非接触式生命体征监测仪、AI睡眠监测与干预设备等企业；围绕家庭服务，引进清洁机器人、陪伴机器人、助浴机器人等机器人企业。力争到2030年，培育出具有规模化、集群化、品牌化的银发经济产业园区。</w:t>
      </w:r>
      <w:r>
        <w:rPr>
          <w:rFonts w:hint="eastAsia" w:ascii="Times New Roman" w:hAnsi="Times New Roman" w:cs="方正仿宋_GBK"/>
          <w:snapToGrid/>
          <w:color w:val="auto"/>
          <w:kern w:val="21"/>
          <w:szCs w:val="32"/>
          <w:lang w:eastAsia="zh-CN"/>
        </w:rPr>
        <w:t>（</w:t>
      </w:r>
      <w:r>
        <w:rPr>
          <w:rFonts w:hint="eastAsia" w:ascii="Times New Roman" w:hAnsi="Times New Roman" w:eastAsia="方正楷体_GBK" w:cs="方正楷体_GBK"/>
          <w:color w:val="auto"/>
          <w:kern w:val="21"/>
          <w:szCs w:val="32"/>
          <w:lang w:eastAsia="zh-CN"/>
        </w:rPr>
        <w:t>责任单位：</w:t>
      </w:r>
      <w:r>
        <w:rPr>
          <w:rFonts w:hint="eastAsia" w:ascii="Times New Roman" w:hAnsi="Times New Roman" w:eastAsia="方正楷体_GBK" w:cs="方正楷体_GBK"/>
          <w:snapToGrid/>
          <w:color w:val="auto"/>
          <w:kern w:val="21"/>
          <w:szCs w:val="32"/>
          <w:lang w:eastAsia="zh-CN"/>
        </w:rPr>
        <w:t>市科技局、市商务局、市工信局</w:t>
      </w:r>
      <w:r>
        <w:rPr>
          <w:rFonts w:hint="eastAsia" w:ascii="Times New Roman" w:hAnsi="Times New Roman" w:cs="方正仿宋_GBK"/>
          <w:snapToGrid/>
          <w:color w:val="auto"/>
          <w:kern w:val="21"/>
          <w:szCs w:val="32"/>
          <w:lang w:eastAsia="zh-CN"/>
        </w:rPr>
        <w:t>）</w:t>
      </w:r>
    </w:p>
    <w:p w14:paraId="2FC31990">
      <w:pPr>
        <w:pStyle w:val="2"/>
        <w:overflowPunct w:val="0"/>
        <w:adjustRightInd/>
        <w:spacing w:before="0" w:line="240" w:lineRule="auto"/>
        <w:ind w:firstLine="632" w:firstLineChars="200"/>
        <w:rPr>
          <w:rFonts w:eastAsia="方正黑体_GBK" w:cs="方正黑体_GBK"/>
          <w:color w:val="auto"/>
          <w:kern w:val="21"/>
          <w:szCs w:val="32"/>
        </w:rPr>
      </w:pPr>
      <w:r>
        <w:rPr>
          <w:rFonts w:hint="eastAsia" w:eastAsia="方正黑体_GBK" w:cs="方正黑体_GBK"/>
          <w:color w:val="auto"/>
          <w:kern w:val="21"/>
          <w:szCs w:val="32"/>
        </w:rPr>
        <w:t>三、保障措施</w:t>
      </w:r>
    </w:p>
    <w:p w14:paraId="7DF169C5">
      <w:pPr>
        <w:pStyle w:val="11"/>
        <w:overflowPunct w:val="0"/>
        <w:adjustRightInd/>
        <w:spacing w:before="0" w:line="240" w:lineRule="auto"/>
        <w:ind w:firstLine="632"/>
        <w:rPr>
          <w:rFonts w:eastAsia="方正仿宋_GBK" w:cs="方正仿宋_GBK"/>
          <w:color w:val="auto"/>
          <w:kern w:val="21"/>
          <w:sz w:val="32"/>
          <w:szCs w:val="32"/>
        </w:rPr>
      </w:pPr>
      <w:r>
        <w:rPr>
          <w:rFonts w:hint="eastAsia" w:eastAsia="方正楷体_GBK" w:cs="方正楷体_GBK"/>
          <w:color w:val="auto"/>
          <w:kern w:val="21"/>
          <w:sz w:val="32"/>
          <w:szCs w:val="32"/>
        </w:rPr>
        <w:t>（一）加强用地用房支持。</w:t>
      </w:r>
      <w:r>
        <w:rPr>
          <w:rFonts w:hint="eastAsia" w:eastAsia="方正仿宋_GBK" w:cs="方正仿宋_GBK"/>
          <w:color w:val="auto"/>
          <w:kern w:val="21"/>
          <w:sz w:val="32"/>
          <w:szCs w:val="32"/>
        </w:rPr>
        <w:t>保障新增养老设施用地需求，支持政府以作价出资或者入股方式提供土地，与社会资本共同投资建设非营利性养老服务项目。依据国土空间规划分级做好养老服务设施用地和银发经济产业项目用地保障。新建住宅区养老服务用房建筑面积要达到每百户30平方米。已建成住宅区养老服务用房要达到每百户15—20平方米。在发挥资产经济效益最大化的前提下，将各类闲置公有房产优先用于发展普惠养老服务。（</w:t>
      </w:r>
      <w:r>
        <w:rPr>
          <w:rFonts w:hint="eastAsia" w:eastAsia="方正楷体_GBK" w:cs="方正楷体_GBK"/>
          <w:color w:val="auto"/>
          <w:kern w:val="21"/>
          <w:sz w:val="32"/>
          <w:szCs w:val="32"/>
        </w:rPr>
        <w:t>责任单位：市资规局、市住建局、市民政局、市财政局</w:t>
      </w:r>
      <w:r>
        <w:rPr>
          <w:rFonts w:hint="eastAsia" w:eastAsia="方正仿宋_GBK" w:cs="方正仿宋_GBK"/>
          <w:color w:val="auto"/>
          <w:kern w:val="21"/>
          <w:sz w:val="32"/>
          <w:szCs w:val="32"/>
        </w:rPr>
        <w:t>）</w:t>
      </w:r>
    </w:p>
    <w:p w14:paraId="3845DDA5">
      <w:pPr>
        <w:pStyle w:val="11"/>
        <w:overflowPunct w:val="0"/>
        <w:adjustRightInd/>
        <w:spacing w:before="0" w:line="240" w:lineRule="auto"/>
        <w:ind w:firstLine="632"/>
        <w:rPr>
          <w:rFonts w:eastAsia="方正仿宋_GBK" w:cs="方正仿宋_GBK"/>
          <w:color w:val="auto"/>
          <w:kern w:val="21"/>
          <w:sz w:val="32"/>
          <w:szCs w:val="32"/>
        </w:rPr>
      </w:pPr>
      <w:r>
        <w:rPr>
          <w:rFonts w:hint="eastAsia" w:eastAsia="方正楷体_GBK" w:cs="方正楷体_GBK"/>
          <w:color w:val="auto"/>
          <w:kern w:val="21"/>
          <w:sz w:val="32"/>
          <w:szCs w:val="32"/>
        </w:rPr>
        <w:t>（二）加强财政金融支持。</w:t>
      </w:r>
      <w:r>
        <w:rPr>
          <w:rFonts w:hint="eastAsia" w:eastAsia="方正仿宋_GBK" w:cs="方正仿宋_GBK"/>
          <w:color w:val="auto"/>
          <w:kern w:val="21"/>
          <w:sz w:val="32"/>
          <w:szCs w:val="32"/>
        </w:rPr>
        <w:t>鼓励各类产业引导资金、政府投资基金、创业投资基金等加大对银发经济企业的支持。加强银企对接，引导银行机构加大对养老基础设施建设、适老器械用具等领域的信贷支持。支持符合条件的银发经济项目申报中央预算内投资、超长期特别国债、地方政府专项债券、普惠养老专项再贷款，参与大规模设备更新和消费品以旧换新。社会福利事业彩票公益金用于支持发展养老服务不低于 55%。落实支持养老服务发展的税收优惠和费用减免政策。落实养老服务用水、用电、用气享受居民价格政策。（</w:t>
      </w:r>
      <w:r>
        <w:rPr>
          <w:rFonts w:hint="eastAsia" w:eastAsia="方正楷体_GBK" w:cs="方正楷体_GBK"/>
          <w:color w:val="auto"/>
          <w:kern w:val="21"/>
          <w:sz w:val="32"/>
          <w:szCs w:val="32"/>
        </w:rPr>
        <w:t>责任单位：市财政局、市发改委、市民政局，市税务局、市科技局、人民银行无锡市分行江阴营管部</w:t>
      </w:r>
      <w:r>
        <w:rPr>
          <w:rFonts w:hint="eastAsia" w:eastAsia="方正仿宋_GBK" w:cs="方正仿宋_GBK"/>
          <w:color w:val="auto"/>
          <w:kern w:val="21"/>
          <w:sz w:val="32"/>
          <w:szCs w:val="32"/>
        </w:rPr>
        <w:t>）</w:t>
      </w:r>
    </w:p>
    <w:p w14:paraId="2BF1AF65">
      <w:pPr>
        <w:pStyle w:val="11"/>
        <w:overflowPunct w:val="0"/>
        <w:adjustRightInd/>
        <w:spacing w:before="0" w:line="240" w:lineRule="auto"/>
        <w:ind w:firstLine="632"/>
        <w:rPr>
          <w:rFonts w:eastAsia="方正仿宋_GBK" w:cs="方正仿宋_GBK"/>
          <w:color w:val="auto"/>
          <w:kern w:val="21"/>
          <w:sz w:val="32"/>
          <w:szCs w:val="32"/>
        </w:rPr>
      </w:pPr>
      <w:r>
        <w:rPr>
          <w:rFonts w:hint="eastAsia" w:eastAsia="方正楷体_GBK" w:cs="方正楷体_GBK"/>
          <w:color w:val="auto"/>
          <w:kern w:val="21"/>
          <w:sz w:val="32"/>
          <w:szCs w:val="32"/>
        </w:rPr>
        <w:t>（三）加强人才队伍建设</w:t>
      </w:r>
      <w:r>
        <w:rPr>
          <w:rFonts w:hint="eastAsia" w:eastAsia="方正楷体_GBK" w:cs="方正楷体_GBK"/>
          <w:b/>
          <w:bCs/>
          <w:color w:val="auto"/>
          <w:kern w:val="21"/>
          <w:sz w:val="32"/>
          <w:szCs w:val="32"/>
        </w:rPr>
        <w:t>。</w:t>
      </w:r>
      <w:r>
        <w:rPr>
          <w:rFonts w:hint="eastAsia" w:eastAsia="方正仿宋_GBK" w:cs="方正仿宋_GBK"/>
          <w:color w:val="auto"/>
          <w:kern w:val="21"/>
          <w:sz w:val="32"/>
          <w:szCs w:val="32"/>
        </w:rPr>
        <w:t>引进生物医药、人工智能等领域领军人才，联合本地在澄高校开设老年科技专业课程，定向培养复合型技术人才。推动养老服务机构与职业院校深度合作，培育一批产教融合型养老服务机构。支持有条件的在澄高校、职业院校开设银发经济相关专业，推进学科交叉人才培养。支持行业协会、家政企业、培训机构等开展养老管理人员培训，将养老护理员、老年人能力评估师、健康照护师、健康管理师等纳入紧缺职业（工种）补贴目录，按规定给予职业培训补贴。加强江阴中专智慧健康养老服务专业建设，支持该专业申报江苏联合职业技术学院五年制高职专业。（</w:t>
      </w:r>
      <w:r>
        <w:rPr>
          <w:rFonts w:hint="eastAsia" w:eastAsia="方正楷体_GBK" w:cs="方正楷体_GBK"/>
          <w:color w:val="auto"/>
          <w:kern w:val="21"/>
          <w:sz w:val="32"/>
          <w:szCs w:val="32"/>
        </w:rPr>
        <w:t>责任单位：市教育局、市人社局、市科技局</w:t>
      </w:r>
      <w:r>
        <w:rPr>
          <w:rFonts w:hint="eastAsia" w:eastAsia="方正仿宋_GBK" w:cs="方正仿宋_GBK"/>
          <w:color w:val="auto"/>
          <w:kern w:val="21"/>
          <w:sz w:val="32"/>
          <w:szCs w:val="32"/>
        </w:rPr>
        <w:t>）</w:t>
      </w:r>
    </w:p>
    <w:p w14:paraId="0EDB31D3">
      <w:pPr>
        <w:pStyle w:val="11"/>
        <w:overflowPunct w:val="0"/>
        <w:adjustRightInd/>
        <w:spacing w:line="240" w:lineRule="auto"/>
        <w:ind w:firstLine="632"/>
        <w:rPr>
          <w:rFonts w:eastAsia="方正仿宋_GBK" w:cs="方正仿宋_GBK"/>
          <w:color w:val="auto"/>
          <w:kern w:val="21"/>
          <w:sz w:val="32"/>
          <w:szCs w:val="32"/>
        </w:rPr>
      </w:pPr>
      <w:r>
        <w:rPr>
          <w:rFonts w:hint="eastAsia" w:eastAsia="方正楷体_GBK" w:cs="方正楷体_GBK"/>
          <w:color w:val="auto"/>
          <w:kern w:val="21"/>
          <w:sz w:val="32"/>
          <w:szCs w:val="32"/>
        </w:rPr>
        <w:t>（四）加强市场</w:t>
      </w:r>
      <w:r>
        <w:rPr>
          <w:rFonts w:hint="eastAsia" w:eastAsia="方正楷体_GBK" w:cs="方正楷体_GBK"/>
          <w:color w:val="auto"/>
          <w:kern w:val="21"/>
          <w:sz w:val="32"/>
          <w:szCs w:val="32"/>
          <w:lang w:eastAsia="zh-CN"/>
        </w:rPr>
        <w:t>环境建设</w:t>
      </w:r>
      <w:r>
        <w:rPr>
          <w:rFonts w:hint="eastAsia" w:eastAsia="方正楷体_GBK" w:cs="方正楷体_GBK"/>
          <w:color w:val="auto"/>
          <w:kern w:val="21"/>
          <w:sz w:val="32"/>
          <w:szCs w:val="32"/>
        </w:rPr>
        <w:t>。</w:t>
      </w:r>
      <w:r>
        <w:rPr>
          <w:rFonts w:hint="eastAsia" w:eastAsia="方正仿宋_GBK" w:cs="方正仿宋_GBK"/>
          <w:color w:val="auto"/>
          <w:kern w:val="21"/>
          <w:sz w:val="32"/>
          <w:szCs w:val="32"/>
        </w:rPr>
        <w:t>鼓励相关企业积极申报国家工信部《智慧健康养老产品及服务推广目录》、《老年用品产品推广目录》。加强银发经济领域信用体系建设，加快完善技术、产品、服务标准。加强银发经济领域的数据整合，有序推动公共数据共享开放。严格监管涉老广告，严肃查处侵害老年人合法权益的广告违法行为。依法严厉打击以养老金融名义开展的违法违规金融活动等侵害老年人合法权益的涉财诈骗行为。（</w:t>
      </w:r>
      <w:r>
        <w:rPr>
          <w:rFonts w:hint="eastAsia" w:eastAsia="方正楷体_GBK" w:cs="方正楷体_GBK"/>
          <w:color w:val="auto"/>
          <w:kern w:val="21"/>
          <w:sz w:val="32"/>
          <w:szCs w:val="32"/>
        </w:rPr>
        <w:t>责任单位：市工信局、市发改委、市数据局、市公安局、市司法局、市市场监管局</w:t>
      </w:r>
      <w:r>
        <w:rPr>
          <w:rFonts w:hint="eastAsia" w:eastAsia="方正楷体_GBK" w:cs="方正楷体_GBK"/>
          <w:color w:val="auto"/>
          <w:kern w:val="21"/>
          <w:sz w:val="32"/>
          <w:szCs w:val="32"/>
          <w:lang w:eastAsia="zh-CN"/>
        </w:rPr>
        <w:t>、</w:t>
      </w:r>
      <w:r>
        <w:rPr>
          <w:rFonts w:hint="eastAsia" w:eastAsia="方正楷体_GBK" w:cs="方正楷体_GBK"/>
          <w:color w:val="auto"/>
          <w:kern w:val="21"/>
          <w:sz w:val="32"/>
          <w:szCs w:val="32"/>
        </w:rPr>
        <w:t>市法院</w:t>
      </w:r>
      <w:r>
        <w:rPr>
          <w:rFonts w:hint="eastAsia" w:eastAsia="方正楷体_GBK" w:cs="方正楷体_GBK"/>
          <w:color w:val="auto"/>
          <w:kern w:val="21"/>
          <w:sz w:val="32"/>
          <w:szCs w:val="32"/>
          <w:lang w:eastAsia="zh-CN"/>
        </w:rPr>
        <w:t>、</w:t>
      </w:r>
      <w:r>
        <w:rPr>
          <w:rFonts w:hint="eastAsia" w:eastAsia="方正楷体_GBK" w:cs="方正楷体_GBK"/>
          <w:color w:val="auto"/>
          <w:kern w:val="21"/>
          <w:sz w:val="32"/>
          <w:szCs w:val="32"/>
        </w:rPr>
        <w:t>江阴金融监管支局</w:t>
      </w:r>
      <w:r>
        <w:rPr>
          <w:rFonts w:hint="eastAsia" w:eastAsia="方正仿宋_GBK" w:cs="方正仿宋_GBK"/>
          <w:color w:val="auto"/>
          <w:kern w:val="21"/>
          <w:sz w:val="32"/>
          <w:szCs w:val="32"/>
        </w:rPr>
        <w:t>）</w:t>
      </w:r>
    </w:p>
    <w:bookmarkEnd w:id="4"/>
    <w:sectPr>
      <w:footerReference r:id="rId3" w:type="default"/>
      <w:footerReference r:id="rId4" w:type="even"/>
      <w:pgSz w:w="11906" w:h="16839"/>
      <w:pgMar w:top="2098" w:right="1473" w:bottom="1984" w:left="1587" w:header="850" w:footer="1474" w:gutter="0"/>
      <w:pgNumType w:start="1"/>
      <w:cols w:space="0"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E341761F-0A0D-4BB5-929E-D453ABEA9F00}"/>
  </w:font>
  <w:font w:name="方正小标宋_GBK">
    <w:panose1 w:val="03000509000000000000"/>
    <w:charset w:val="86"/>
    <w:family w:val="script"/>
    <w:pitch w:val="default"/>
    <w:sig w:usb0="00000001" w:usb1="080E0000" w:usb2="00000000" w:usb3="00000000" w:csb0="00040000" w:csb1="00000000"/>
    <w:embedRegular r:id="rId2" w:fontKey="{38F63304-D98C-4313-88EA-E30AA032414A}"/>
  </w:font>
  <w:font w:name="方正楷体_GBK">
    <w:panose1 w:val="03000509000000000000"/>
    <w:charset w:val="86"/>
    <w:family w:val="script"/>
    <w:pitch w:val="default"/>
    <w:sig w:usb0="00000001" w:usb1="080E0000" w:usb2="00000000" w:usb3="00000000" w:csb0="00040000" w:csb1="00000000"/>
    <w:embedRegular r:id="rId3" w:fontKey="{0440F80D-FE1E-4EA6-BAFE-924651E2D1BE}"/>
  </w:font>
  <w:font w:name="方正黑体_GBK">
    <w:panose1 w:val="03000509000000000000"/>
    <w:charset w:val="86"/>
    <w:family w:val="script"/>
    <w:pitch w:val="default"/>
    <w:sig w:usb0="00000001" w:usb1="080E0000" w:usb2="00000000" w:usb3="00000000" w:csb0="00040000" w:csb1="00000000"/>
    <w:embedRegular r:id="rId4" w:fontKey="{80FD0015-41F8-4FEF-8630-F4082F3EE2F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75906">
    <w:pPr>
      <w:pStyle w:val="12"/>
      <w:adjustRightInd/>
      <w:snapToGrid/>
      <w:ind w:left="320" w:leftChars="100" w:right="320" w:rightChars="100"/>
      <w:jc w:val="right"/>
      <w:rPr>
        <w:rFonts w:ascii="宋体" w:hAnsi="宋体" w:cs="宋体"/>
        <w:sz w:val="28"/>
        <w:szCs w:val="28"/>
        <w:lang w:eastAsia="zh-CN"/>
      </w:rPr>
    </w:pPr>
    <w:r>
      <w:rPr>
        <w:rFonts w:hint="eastAsia"/>
        <w:sz w:val="28"/>
        <w:szCs w:val="28"/>
        <w:lang w:eastAsia="zh-CN"/>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sz w:val="28"/>
        <w:szCs w:val="28"/>
        <w:lang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D92FE">
    <w:pPr>
      <w:pStyle w:val="12"/>
      <w:adjustRightInd/>
      <w:snapToGrid/>
      <w:ind w:left="320" w:leftChars="100" w:right="320" w:rightChars="100"/>
    </w:pPr>
    <w:r>
      <w:rPr>
        <w:rFonts w:hint="eastAsia"/>
        <w:sz w:val="28"/>
        <w:szCs w:val="28"/>
        <w:lang w:eastAsia="zh-CN"/>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sz w:val="28"/>
        <w:szCs w:val="28"/>
        <w:lang w:eastAsia="zh-CN"/>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697C5B"/>
    <w:multiLevelType w:val="singleLevel"/>
    <w:tmpl w:val="FC697C5B"/>
    <w:lvl w:ilvl="0" w:tentative="0">
      <w:start w:val="1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mirrorMargins w:val="1"/>
  <w:documentProtection w:enforcement="0"/>
  <w:defaultTabStop w:val="420"/>
  <w:evenAndOddHeaders w:val="1"/>
  <w:drawingGridHorizontalSpacing w:val="158"/>
  <w:drawingGridVerticalSpacing w:val="290"/>
  <w:noPunctuationKerning w:val="1"/>
  <w:characterSpacingControl w:val="doNotCompress"/>
  <w:compat>
    <w:spaceForUL/>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4D6"/>
    <w:rsid w:val="00182868"/>
    <w:rsid w:val="00264DEA"/>
    <w:rsid w:val="00600A15"/>
    <w:rsid w:val="00693EB9"/>
    <w:rsid w:val="007024D6"/>
    <w:rsid w:val="00C3098B"/>
    <w:rsid w:val="00D81D1E"/>
    <w:rsid w:val="00F30F2D"/>
    <w:rsid w:val="00F8356A"/>
    <w:rsid w:val="0213766F"/>
    <w:rsid w:val="026339FC"/>
    <w:rsid w:val="02FE3E7B"/>
    <w:rsid w:val="03C2719A"/>
    <w:rsid w:val="04331C86"/>
    <w:rsid w:val="04752B1C"/>
    <w:rsid w:val="04B073F7"/>
    <w:rsid w:val="054B2555"/>
    <w:rsid w:val="059A1EEE"/>
    <w:rsid w:val="05D730F0"/>
    <w:rsid w:val="06D048BB"/>
    <w:rsid w:val="07F96744"/>
    <w:rsid w:val="086E61A0"/>
    <w:rsid w:val="08A67276"/>
    <w:rsid w:val="08F17FDE"/>
    <w:rsid w:val="09F63266"/>
    <w:rsid w:val="0A117F52"/>
    <w:rsid w:val="0A36039E"/>
    <w:rsid w:val="0BAB3F00"/>
    <w:rsid w:val="0BEE077E"/>
    <w:rsid w:val="0C5A2EF8"/>
    <w:rsid w:val="0CEB06E2"/>
    <w:rsid w:val="0D34161D"/>
    <w:rsid w:val="0DDE08C0"/>
    <w:rsid w:val="0EFA4090"/>
    <w:rsid w:val="0F614A1A"/>
    <w:rsid w:val="100B5E29"/>
    <w:rsid w:val="10790217"/>
    <w:rsid w:val="1082488E"/>
    <w:rsid w:val="11F83449"/>
    <w:rsid w:val="126D0240"/>
    <w:rsid w:val="132F3F4B"/>
    <w:rsid w:val="15233C15"/>
    <w:rsid w:val="16AE31B2"/>
    <w:rsid w:val="16C1004E"/>
    <w:rsid w:val="16DF309E"/>
    <w:rsid w:val="17AF5D8A"/>
    <w:rsid w:val="190120DC"/>
    <w:rsid w:val="19116312"/>
    <w:rsid w:val="1BEC6B0F"/>
    <w:rsid w:val="1CA47B63"/>
    <w:rsid w:val="1CC63E04"/>
    <w:rsid w:val="1CEE2F53"/>
    <w:rsid w:val="1E5D7314"/>
    <w:rsid w:val="1EB4368D"/>
    <w:rsid w:val="1F7F413E"/>
    <w:rsid w:val="1F9A7B5C"/>
    <w:rsid w:val="1FCA191A"/>
    <w:rsid w:val="20BC5287"/>
    <w:rsid w:val="2148274F"/>
    <w:rsid w:val="218F7E90"/>
    <w:rsid w:val="226103D4"/>
    <w:rsid w:val="231A7C24"/>
    <w:rsid w:val="23FC157A"/>
    <w:rsid w:val="24E84AA5"/>
    <w:rsid w:val="255866F6"/>
    <w:rsid w:val="26220BBC"/>
    <w:rsid w:val="27A61441"/>
    <w:rsid w:val="27AF02B0"/>
    <w:rsid w:val="27BB1A8B"/>
    <w:rsid w:val="29777BB7"/>
    <w:rsid w:val="29B665AC"/>
    <w:rsid w:val="29D83173"/>
    <w:rsid w:val="2ADB00E5"/>
    <w:rsid w:val="2AEC7A4B"/>
    <w:rsid w:val="2B654FCC"/>
    <w:rsid w:val="2BBC5C6F"/>
    <w:rsid w:val="2BCA0ABF"/>
    <w:rsid w:val="2CA808FF"/>
    <w:rsid w:val="2EB2657F"/>
    <w:rsid w:val="2EBA1CE5"/>
    <w:rsid w:val="2F330175"/>
    <w:rsid w:val="2FA143FE"/>
    <w:rsid w:val="302B5C83"/>
    <w:rsid w:val="32101E6B"/>
    <w:rsid w:val="33432482"/>
    <w:rsid w:val="33F0294E"/>
    <w:rsid w:val="34285A1D"/>
    <w:rsid w:val="349334EC"/>
    <w:rsid w:val="34CC58F5"/>
    <w:rsid w:val="38163439"/>
    <w:rsid w:val="38CD05A3"/>
    <w:rsid w:val="3954665D"/>
    <w:rsid w:val="3A297DC0"/>
    <w:rsid w:val="3B3D2A8B"/>
    <w:rsid w:val="3CF05099"/>
    <w:rsid w:val="3FB4429D"/>
    <w:rsid w:val="40C831B5"/>
    <w:rsid w:val="40E02AF3"/>
    <w:rsid w:val="40E7597A"/>
    <w:rsid w:val="415F094C"/>
    <w:rsid w:val="41BD793C"/>
    <w:rsid w:val="42187EB9"/>
    <w:rsid w:val="42DF267A"/>
    <w:rsid w:val="43803CE8"/>
    <w:rsid w:val="44DF71FA"/>
    <w:rsid w:val="46D74962"/>
    <w:rsid w:val="47C23B5E"/>
    <w:rsid w:val="491F56BB"/>
    <w:rsid w:val="49423962"/>
    <w:rsid w:val="49CA4174"/>
    <w:rsid w:val="49D77AA7"/>
    <w:rsid w:val="4A8E7B64"/>
    <w:rsid w:val="4BF244FE"/>
    <w:rsid w:val="4C5145E8"/>
    <w:rsid w:val="4CE0596C"/>
    <w:rsid w:val="4DBB5109"/>
    <w:rsid w:val="4E132DAB"/>
    <w:rsid w:val="4EBF2107"/>
    <w:rsid w:val="4F074A7F"/>
    <w:rsid w:val="4F455222"/>
    <w:rsid w:val="4F9A0E3E"/>
    <w:rsid w:val="4FB928C6"/>
    <w:rsid w:val="4FF7699F"/>
    <w:rsid w:val="500A342C"/>
    <w:rsid w:val="501D76F7"/>
    <w:rsid w:val="52767FC5"/>
    <w:rsid w:val="530323B4"/>
    <w:rsid w:val="53597D83"/>
    <w:rsid w:val="536F7A4A"/>
    <w:rsid w:val="53C94501"/>
    <w:rsid w:val="55605CEE"/>
    <w:rsid w:val="55EE2EA8"/>
    <w:rsid w:val="55FF4361"/>
    <w:rsid w:val="567E247E"/>
    <w:rsid w:val="57154401"/>
    <w:rsid w:val="58086036"/>
    <w:rsid w:val="580D1F40"/>
    <w:rsid w:val="58B8779D"/>
    <w:rsid w:val="58DD0FB2"/>
    <w:rsid w:val="58E6430A"/>
    <w:rsid w:val="599E096A"/>
    <w:rsid w:val="5A7725B2"/>
    <w:rsid w:val="5ABB079A"/>
    <w:rsid w:val="5DCB5899"/>
    <w:rsid w:val="5F1B3E02"/>
    <w:rsid w:val="60A46532"/>
    <w:rsid w:val="6103134D"/>
    <w:rsid w:val="61AE524A"/>
    <w:rsid w:val="61B9080E"/>
    <w:rsid w:val="625877C1"/>
    <w:rsid w:val="65186E68"/>
    <w:rsid w:val="6645639C"/>
    <w:rsid w:val="66E63727"/>
    <w:rsid w:val="67846D87"/>
    <w:rsid w:val="67ED6375"/>
    <w:rsid w:val="680B3967"/>
    <w:rsid w:val="68B95597"/>
    <w:rsid w:val="68ED2182"/>
    <w:rsid w:val="68FD4D1D"/>
    <w:rsid w:val="690F338D"/>
    <w:rsid w:val="6A023653"/>
    <w:rsid w:val="6A0D73FB"/>
    <w:rsid w:val="6A182684"/>
    <w:rsid w:val="6A956BF2"/>
    <w:rsid w:val="6AE41D98"/>
    <w:rsid w:val="6AEC6564"/>
    <w:rsid w:val="6B7C6814"/>
    <w:rsid w:val="6BBF1117"/>
    <w:rsid w:val="6BD300F2"/>
    <w:rsid w:val="6C916C23"/>
    <w:rsid w:val="6EAE3050"/>
    <w:rsid w:val="6F957FF4"/>
    <w:rsid w:val="70CD17FF"/>
    <w:rsid w:val="716B7A58"/>
    <w:rsid w:val="71A85BF4"/>
    <w:rsid w:val="71DA4142"/>
    <w:rsid w:val="71E53FE6"/>
    <w:rsid w:val="72313BC3"/>
    <w:rsid w:val="73202814"/>
    <w:rsid w:val="74841820"/>
    <w:rsid w:val="74E21F0E"/>
    <w:rsid w:val="7602415D"/>
    <w:rsid w:val="76661B74"/>
    <w:rsid w:val="76BB4B6B"/>
    <w:rsid w:val="76CC12B3"/>
    <w:rsid w:val="78317C29"/>
    <w:rsid w:val="784F0FF3"/>
    <w:rsid w:val="78747C05"/>
    <w:rsid w:val="79257AD3"/>
    <w:rsid w:val="79966B7B"/>
    <w:rsid w:val="7A437253"/>
    <w:rsid w:val="7B402043"/>
    <w:rsid w:val="7B4E05AB"/>
    <w:rsid w:val="7BBA1330"/>
    <w:rsid w:val="7C3945CD"/>
    <w:rsid w:val="7C835849"/>
    <w:rsid w:val="7CAF35BA"/>
    <w:rsid w:val="7E244E09"/>
    <w:rsid w:val="7E6C63D2"/>
    <w:rsid w:val="7EAC3044"/>
    <w:rsid w:val="7EDE22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方正仿宋_GBK" w:cs="Arial"/>
      <w:snapToGrid w:val="0"/>
      <w:color w:val="000000"/>
      <w:sz w:val="32"/>
      <w:szCs w:val="21"/>
      <w:lang w:val="en-US" w:eastAsia="en-US"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val="en-US" w:eastAsia="zh-CN" w:bidi="ar-SA"/>
    </w:rPr>
  </w:style>
  <w:style w:type="paragraph" w:styleId="3">
    <w:name w:val="heading 2"/>
    <w:next w:val="1"/>
    <w:semiHidden/>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val="en-US" w:eastAsia="zh-CN"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val="en-US" w:eastAsia="zh-CN"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val="en-US" w:eastAsia="zh-CN"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val="en-US" w:eastAsia="zh-CN"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val="en-US" w:eastAsia="zh-CN"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val="en-US" w:eastAsia="zh-CN"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val="en-US" w:eastAsia="zh-CN"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val="en-US" w:eastAsia="zh-CN" w:bidi="ar-SA"/>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Body Text"/>
    <w:semiHidden/>
    <w:qFormat/>
    <w:uiPriority w:val="0"/>
    <w:pPr>
      <w:widowControl w:val="0"/>
      <w:adjustRightInd w:val="0"/>
      <w:spacing w:before="100" w:line="300" w:lineRule="auto"/>
      <w:ind w:firstLine="1044" w:firstLineChars="200"/>
      <w:jc w:val="both"/>
    </w:pPr>
    <w:rPr>
      <w:rFonts w:ascii="Times New Roman" w:hAnsi="Times New Roman" w:eastAsia="宋体" w:cs="Times New Roman"/>
      <w:kern w:val="2"/>
      <w:sz w:val="24"/>
      <w:szCs w:val="24"/>
      <w:lang w:val="en-US" w:eastAsia="zh-CN" w:bidi="ar-SA"/>
    </w:rPr>
  </w:style>
  <w:style w:type="paragraph" w:styleId="12">
    <w:name w:val="footer"/>
    <w:basedOn w:val="1"/>
    <w:qFormat/>
    <w:uiPriority w:val="0"/>
    <w:pPr>
      <w:tabs>
        <w:tab w:val="center" w:pos="4153"/>
        <w:tab w:val="right" w:pos="8306"/>
      </w:tabs>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4">
    <w:name w:val="Subtitle"/>
    <w:qFormat/>
    <w:uiPriority w:val="0"/>
    <w:pPr>
      <w:widowControl w:val="0"/>
      <w:adjustRightInd w:val="0"/>
      <w:spacing w:before="100" w:after="100"/>
      <w:jc w:val="center"/>
    </w:pPr>
    <w:rPr>
      <w:rFonts w:ascii="Times New Roman" w:hAnsi="Times New Roman" w:eastAsia="黑体" w:cs="Times New Roman"/>
      <w:kern w:val="28"/>
      <w:sz w:val="32"/>
      <w:szCs w:val="24"/>
      <w:lang w:val="en-US" w:eastAsia="zh-CN" w:bidi="ar-SA"/>
    </w:rPr>
  </w:style>
  <w:style w:type="paragraph" w:styleId="15">
    <w:name w:val="Normal (Web)"/>
    <w:basedOn w:val="1"/>
    <w:qFormat/>
    <w:uiPriority w:val="0"/>
    <w:pPr>
      <w:spacing w:beforeAutospacing="1" w:afterAutospacing="1"/>
    </w:pPr>
    <w:rPr>
      <w:rFonts w:cs="Times New Roman"/>
      <w:sz w:val="24"/>
      <w:lang w:eastAsia="zh-CN"/>
    </w:rPr>
  </w:style>
  <w:style w:type="paragraph" w:styleId="16">
    <w:name w:val="Title"/>
    <w:qFormat/>
    <w:uiPriority w:val="0"/>
    <w:pPr>
      <w:widowControl w:val="0"/>
      <w:adjustRightInd w:val="0"/>
      <w:spacing w:before="100" w:after="100"/>
      <w:jc w:val="center"/>
    </w:pPr>
    <w:rPr>
      <w:rFonts w:ascii="Times New Roman" w:hAnsi="Times New Roman" w:eastAsia="黑体" w:cs="Times New Roman"/>
      <w:kern w:val="2"/>
      <w:sz w:val="36"/>
      <w:szCs w:val="24"/>
      <w:lang w:val="en-US" w:eastAsia="zh-CN" w:bidi="ar-SA"/>
    </w:rPr>
  </w:style>
  <w:style w:type="character" w:styleId="19">
    <w:name w:val="Strong"/>
    <w:basedOn w:val="18"/>
    <w:qFormat/>
    <w:uiPriority w:val="22"/>
    <w:rPr>
      <w:b/>
    </w:rPr>
  </w:style>
  <w:style w:type="character" w:styleId="20">
    <w:name w:val="Hyperlink"/>
    <w:basedOn w:val="18"/>
    <w:qFormat/>
    <w:uiPriority w:val="0"/>
    <w:rPr>
      <w:color w:val="0000FF"/>
      <w:u w:val="single"/>
    </w:rPr>
  </w:style>
  <w:style w:type="table" w:customStyle="1" w:styleId="21">
    <w:name w:val="Table Normal"/>
    <w:semiHidden/>
    <w:unhideWhenUsed/>
    <w:qFormat/>
    <w:uiPriority w:val="0"/>
    <w:tblPr>
      <w:tblCellMar>
        <w:top w:w="0" w:type="dxa"/>
        <w:left w:w="0" w:type="dxa"/>
        <w:bottom w:w="0" w:type="dxa"/>
        <w:right w:w="0" w:type="dxa"/>
      </w:tblCellMar>
    </w:tblPr>
  </w:style>
  <w:style w:type="paragraph" w:customStyle="1" w:styleId="22">
    <w:name w:val="Table Text"/>
    <w:basedOn w:val="1"/>
    <w:semiHidden/>
    <w:qFormat/>
    <w:uiPriority w:val="0"/>
    <w:rPr>
      <w:rFonts w:ascii="宋体" w:hAnsi="宋体" w:eastAsia="宋体" w:cs="宋体"/>
      <w:sz w:val="30"/>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4854</Words>
  <Characters>4896</Characters>
  <Lines>35</Lines>
  <Paragraphs>10</Paragraphs>
  <TotalTime>113</TotalTime>
  <ScaleCrop>false</ScaleCrop>
  <LinksUpToDate>false</LinksUpToDate>
  <CharactersWithSpaces>4899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2025-05-28T02:22:00Z</dcterms:created>
  <dc:creator>zxn</dc:creator>
  <cp:lastModifiedBy>旭日东升</cp:lastModifiedBy>
  <cp:lastPrinted>2025-05-26T07:55:00Z</cp:lastPrinted>
  <dcterms:modified xsi:type="dcterms:W3CDTF">2025-06-20T08:28:21Z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2025-02-27T11:00:16Z</vt:filetime>
  </property>
  <property fmtid="{D5CDD505-2E9C-101B-9397-08002B2CF9AE}" pid="4" name="KSOTemplateDocerSaveRecord">
    <vt:lpwstr>eyJoZGlkIjoiNmY3NTUzOTBmOWFiZjJmMGQ4MzE0MzQ2YmE1MWI2ZGQiLCJ1c2VySWQiOiI2Mjk1ODYxNjkifQ==</vt:lpwstr>
  </property>
  <property fmtid="{D5CDD505-2E9C-101B-9397-08002B2CF9AE}" pid="5" name="KSOProductBuildVer">
    <vt:lpwstr>2052-12.1.0.21541</vt:lpwstr>
  </property>
  <property fmtid="{D5CDD505-2E9C-101B-9397-08002B2CF9AE}" pid="6" name="ICV">
    <vt:lpwstr>A39511BDB17548A3B66B7AA4B7833E39_13</vt:lpwstr>
  </property>
</Properties>
</file>